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4221" w14:textId="77777777" w:rsidR="00C51222" w:rsidRPr="0049672F" w:rsidRDefault="00C51222" w:rsidP="00C51222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ΔΕΛΤΙΟ ΤΥΠΟΥ</w:t>
      </w:r>
    </w:p>
    <w:p w14:paraId="3AE2A250" w14:textId="77777777" w:rsidR="00C51222" w:rsidRDefault="00C51222" w:rsidP="00C51222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</w:p>
    <w:p w14:paraId="2379A4FD" w14:textId="77777777" w:rsidR="00C51222" w:rsidRDefault="00C51222" w:rsidP="00C51222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Βασικά Μεγέθη Πρώτου Τριμήνου 2024</w:t>
      </w:r>
    </w:p>
    <w:p w14:paraId="0CBB5428" w14:textId="77777777" w:rsidR="00C51222" w:rsidRDefault="00C51222" w:rsidP="00C51222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</w:p>
    <w:p w14:paraId="099838A2" w14:textId="432396B1" w:rsidR="00C51222" w:rsidRDefault="00DA201A" w:rsidP="00C51222">
      <w:pPr>
        <w:ind w:right="5"/>
        <w:jc w:val="both"/>
        <w:rPr>
          <w:rFonts w:cstheme="minorHAnsi"/>
          <w:b/>
          <w:color w:val="243587"/>
          <w:sz w:val="28"/>
          <w:szCs w:val="28"/>
          <w:lang w:val="el-GR"/>
        </w:rPr>
      </w:pPr>
      <w:bookmarkStart w:id="0" w:name="_Hlk167100069"/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Αύξηση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 κ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ύ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κλου εργασι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ώ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ν κατά 17% 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και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β</w:t>
      </w:r>
      <w:r w:rsidR="00411B2D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ελτίωση  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λειτουργικής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κερδοφορίας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 (</w:t>
      </w:r>
      <w:r w:rsidR="00AE7285">
        <w:rPr>
          <w:rFonts w:ascii="Calibri" w:hAnsi="Calibri" w:cs="Calibri"/>
          <w:b/>
          <w:bCs/>
          <w:color w:val="243587"/>
          <w:sz w:val="28"/>
          <w:szCs w:val="28"/>
          <w:lang w:val="en-US"/>
        </w:rPr>
        <w:t>E</w:t>
      </w:r>
      <w:r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ΒΙΤ</w:t>
      </w:r>
      <w:r w:rsidR="002E037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)</w:t>
      </w:r>
      <w:r w:rsidR="00C51222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 xml:space="preserve"> στο εποχικά ασθενέστερο πρώτο τρίμηνο του έτους</w:t>
      </w:r>
      <w:r w:rsidR="00C51222">
        <w:rPr>
          <w:rFonts w:cstheme="minorHAnsi"/>
          <w:b/>
          <w:color w:val="243587"/>
          <w:sz w:val="28"/>
          <w:szCs w:val="28"/>
          <w:lang w:val="el-GR"/>
        </w:rPr>
        <w:t xml:space="preserve"> </w:t>
      </w:r>
      <w:bookmarkEnd w:id="0"/>
    </w:p>
    <w:p w14:paraId="2FC157E0" w14:textId="77777777" w:rsidR="00C51222" w:rsidRDefault="00C51222" w:rsidP="00C51222">
      <w:pPr>
        <w:ind w:right="5"/>
        <w:jc w:val="both"/>
        <w:rPr>
          <w:rFonts w:cstheme="minorHAnsi"/>
          <w:b/>
          <w:bCs/>
          <w:color w:val="243587"/>
          <w:lang w:val="el-GR"/>
        </w:rPr>
      </w:pPr>
    </w:p>
    <w:p w14:paraId="2754E89F" w14:textId="77777777" w:rsidR="00C51222" w:rsidRDefault="00C51222" w:rsidP="00C51222">
      <w:pPr>
        <w:pStyle w:val="ListParagraph"/>
        <w:numPr>
          <w:ilvl w:val="0"/>
          <w:numId w:val="1"/>
        </w:num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>€268,8 εκατ. Κύκλος Εργασιών</w:t>
      </w:r>
      <w:r w:rsidRPr="002936ED">
        <w:rPr>
          <w:rFonts w:cstheme="minorHAnsi"/>
          <w:color w:val="243587"/>
          <w:sz w:val="22"/>
          <w:szCs w:val="22"/>
          <w:lang w:val="el-GR"/>
        </w:rPr>
        <w:t>,</w:t>
      </w:r>
      <w:r>
        <w:rPr>
          <w:rFonts w:cstheme="minorHAnsi"/>
          <w:color w:val="243587"/>
          <w:sz w:val="22"/>
          <w:szCs w:val="22"/>
          <w:lang w:val="el-GR"/>
        </w:rPr>
        <w:t xml:space="preserve"> 17% υψηλότερος σε σχέση με το 2023.</w:t>
      </w:r>
    </w:p>
    <w:p w14:paraId="7F6CD0BC" w14:textId="1FDC6A54" w:rsidR="00C51222" w:rsidRDefault="00C51222" w:rsidP="00C51222">
      <w:pPr>
        <w:pStyle w:val="ListParagraph"/>
        <w:numPr>
          <w:ilvl w:val="0"/>
          <w:numId w:val="1"/>
        </w:num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>2,</w:t>
      </w:r>
      <w:r w:rsidR="004C151D" w:rsidRPr="004C151D">
        <w:rPr>
          <w:rFonts w:cstheme="minorHAnsi"/>
          <w:color w:val="243587"/>
          <w:sz w:val="22"/>
          <w:szCs w:val="22"/>
          <w:lang w:val="el-GR"/>
        </w:rPr>
        <w:t>9</w:t>
      </w:r>
      <w:r>
        <w:rPr>
          <w:rFonts w:cstheme="minorHAnsi"/>
          <w:color w:val="243587"/>
          <w:sz w:val="22"/>
          <w:szCs w:val="22"/>
          <w:lang w:val="el-GR"/>
        </w:rPr>
        <w:t xml:space="preserve"> εκατ. επιβάτες, 11% περισσότεροι από το πρώτο τρίμηνο του 2023</w:t>
      </w:r>
      <w:r w:rsidR="005A41BC" w:rsidRPr="005A41BC">
        <w:rPr>
          <w:rFonts w:cstheme="minorHAnsi"/>
          <w:color w:val="243587"/>
          <w:sz w:val="22"/>
          <w:szCs w:val="22"/>
          <w:lang w:val="el-GR"/>
        </w:rPr>
        <w:t>.</w:t>
      </w:r>
    </w:p>
    <w:p w14:paraId="0C90A640" w14:textId="3B85E2FA" w:rsidR="00C51222" w:rsidRPr="00AE7285" w:rsidRDefault="00C51222" w:rsidP="00C51222">
      <w:pPr>
        <w:pStyle w:val="ListParagraph"/>
        <w:numPr>
          <w:ilvl w:val="0"/>
          <w:numId w:val="1"/>
        </w:numPr>
        <w:ind w:right="5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n-US"/>
        </w:rPr>
        <w:t>EBITDA</w:t>
      </w:r>
      <w:r w:rsidRPr="00667820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>κέρδη €3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3</w:t>
      </w:r>
      <w:r>
        <w:rPr>
          <w:rFonts w:cstheme="minorHAnsi"/>
          <w:color w:val="243587"/>
          <w:sz w:val="22"/>
          <w:szCs w:val="22"/>
          <w:lang w:val="el-GR"/>
        </w:rPr>
        <w:t>,</w:t>
      </w:r>
      <w:r w:rsidR="000B681C" w:rsidRPr="000B681C">
        <w:rPr>
          <w:rFonts w:cstheme="minorHAnsi"/>
          <w:color w:val="243587"/>
          <w:sz w:val="22"/>
          <w:szCs w:val="22"/>
          <w:lang w:val="el-GR"/>
        </w:rPr>
        <w:t>2</w:t>
      </w:r>
      <w:r>
        <w:rPr>
          <w:rFonts w:cstheme="minorHAnsi"/>
          <w:color w:val="243587"/>
          <w:sz w:val="22"/>
          <w:szCs w:val="22"/>
          <w:lang w:val="el-GR"/>
        </w:rPr>
        <w:t xml:space="preserve"> εκατ. από κέρδη €19,3 εκατ. την αντίστοιχη περίοδο του 2023</w:t>
      </w:r>
      <w:r w:rsidRPr="006761CD">
        <w:rPr>
          <w:rFonts w:cstheme="minorHAnsi"/>
          <w:color w:val="243587"/>
          <w:sz w:val="22"/>
          <w:szCs w:val="22"/>
          <w:lang w:val="el-GR"/>
        </w:rPr>
        <w:t>.</w:t>
      </w:r>
    </w:p>
    <w:p w14:paraId="6BBF25C5" w14:textId="114693CA" w:rsidR="00411B2D" w:rsidRDefault="00411B2D" w:rsidP="00C51222">
      <w:pPr>
        <w:pStyle w:val="ListParagraph"/>
        <w:numPr>
          <w:ilvl w:val="0"/>
          <w:numId w:val="1"/>
        </w:numPr>
        <w:ind w:right="5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n-US"/>
        </w:rPr>
        <w:t>E</w:t>
      </w:r>
      <w:r w:rsidR="00AE7285">
        <w:rPr>
          <w:rFonts w:cstheme="minorHAnsi"/>
          <w:color w:val="243587"/>
          <w:sz w:val="22"/>
          <w:szCs w:val="22"/>
          <w:lang w:val="en-US"/>
        </w:rPr>
        <w:t>BIT</w:t>
      </w:r>
      <w:r w:rsidRPr="00AE7285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AE7285">
        <w:rPr>
          <w:rFonts w:cstheme="minorHAnsi"/>
          <w:color w:val="243587"/>
          <w:sz w:val="22"/>
          <w:szCs w:val="22"/>
          <w:lang w:val="el-GR"/>
        </w:rPr>
        <w:t>Ζημίες</w:t>
      </w:r>
      <w:r w:rsidRPr="00AE7285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AE7285">
        <w:rPr>
          <w:rFonts w:cstheme="minorHAnsi"/>
          <w:color w:val="243587"/>
          <w:sz w:val="22"/>
          <w:szCs w:val="22"/>
          <w:lang w:val="el-GR"/>
        </w:rPr>
        <w:t>€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7</w:t>
      </w:r>
      <w:r w:rsidR="00AE7285">
        <w:rPr>
          <w:rFonts w:cstheme="minorHAnsi"/>
          <w:color w:val="243587"/>
          <w:sz w:val="22"/>
          <w:szCs w:val="22"/>
          <w:lang w:val="el-GR"/>
        </w:rPr>
        <w:t>,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2</w:t>
      </w:r>
      <w:r w:rsidR="00AE7285">
        <w:rPr>
          <w:rFonts w:cstheme="minorHAnsi"/>
          <w:color w:val="243587"/>
          <w:sz w:val="22"/>
          <w:szCs w:val="22"/>
          <w:lang w:val="el-GR"/>
        </w:rPr>
        <w:t xml:space="preserve"> εκατ.</w:t>
      </w:r>
      <w:r w:rsidR="002E037E">
        <w:rPr>
          <w:rFonts w:cstheme="minorHAnsi"/>
          <w:color w:val="243587"/>
          <w:sz w:val="22"/>
          <w:szCs w:val="22"/>
          <w:lang w:val="el-GR"/>
        </w:rPr>
        <w:t>, βελτιωμ</w:t>
      </w:r>
      <w:r w:rsidR="00DA201A">
        <w:rPr>
          <w:rFonts w:cstheme="minorHAnsi"/>
          <w:color w:val="243587"/>
          <w:sz w:val="22"/>
          <w:szCs w:val="22"/>
          <w:lang w:val="el-GR"/>
        </w:rPr>
        <w:t>ένες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AE7285">
        <w:rPr>
          <w:rFonts w:cstheme="minorHAnsi"/>
          <w:color w:val="243587"/>
          <w:sz w:val="22"/>
          <w:szCs w:val="22"/>
          <w:lang w:val="el-GR"/>
        </w:rPr>
        <w:t>από ζημίες €14,7 εκατ. την αντίστοιχη περίοδο του 2023</w:t>
      </w:r>
      <w:r w:rsidR="00AE7285" w:rsidRPr="006761CD">
        <w:rPr>
          <w:rFonts w:cstheme="minorHAnsi"/>
          <w:color w:val="243587"/>
          <w:sz w:val="22"/>
          <w:szCs w:val="22"/>
          <w:lang w:val="el-GR"/>
        </w:rPr>
        <w:t>.</w:t>
      </w:r>
    </w:p>
    <w:p w14:paraId="2635162A" w14:textId="5D5CD9BB" w:rsidR="00AE7285" w:rsidRDefault="00C51222" w:rsidP="00AE7285">
      <w:pPr>
        <w:pStyle w:val="ListParagraph"/>
        <w:numPr>
          <w:ilvl w:val="0"/>
          <w:numId w:val="1"/>
        </w:numPr>
        <w:ind w:right="5"/>
        <w:rPr>
          <w:rFonts w:cstheme="minorHAnsi"/>
          <w:color w:val="243587"/>
          <w:sz w:val="22"/>
          <w:szCs w:val="22"/>
          <w:lang w:val="el-GR"/>
        </w:rPr>
      </w:pPr>
      <w:bookmarkStart w:id="1" w:name="_Hlk129525246"/>
      <w:r>
        <w:rPr>
          <w:rFonts w:cstheme="minorHAnsi"/>
          <w:color w:val="243587"/>
          <w:sz w:val="22"/>
          <w:szCs w:val="22"/>
          <w:lang w:val="el-GR"/>
        </w:rPr>
        <w:t>€</w:t>
      </w:r>
      <w:bookmarkEnd w:id="1"/>
      <w:r>
        <w:rPr>
          <w:rFonts w:cstheme="minorHAnsi"/>
          <w:color w:val="243587"/>
          <w:sz w:val="22"/>
          <w:szCs w:val="22"/>
          <w:lang w:val="el-GR"/>
        </w:rPr>
        <w:t>21,0 εκατ. Ζημίες μετά από Φόρους</w:t>
      </w:r>
      <w:r w:rsidR="00411B2D" w:rsidRPr="00AE7285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AE7285">
        <w:rPr>
          <w:rFonts w:cstheme="minorHAnsi"/>
          <w:color w:val="243587"/>
          <w:sz w:val="22"/>
          <w:szCs w:val="22"/>
          <w:lang w:val="el-GR"/>
        </w:rPr>
        <w:t>από €14,4 εκατ. ζημίες την αντίστοιχη περίοδο του 2023</w:t>
      </w:r>
      <w:r w:rsidR="00AE7285" w:rsidRPr="006761CD">
        <w:rPr>
          <w:rFonts w:cstheme="minorHAnsi"/>
          <w:color w:val="243587"/>
          <w:sz w:val="22"/>
          <w:szCs w:val="22"/>
          <w:lang w:val="el-GR"/>
        </w:rPr>
        <w:t>.</w:t>
      </w:r>
    </w:p>
    <w:p w14:paraId="244692BC" w14:textId="366F77C7" w:rsidR="00C51222" w:rsidRPr="00AE7285" w:rsidRDefault="00C51222" w:rsidP="00AE7285">
      <w:pPr>
        <w:ind w:left="142" w:right="5"/>
        <w:jc w:val="both"/>
        <w:rPr>
          <w:rFonts w:cstheme="minorHAnsi"/>
          <w:b/>
          <w:bCs/>
          <w:color w:val="243587"/>
          <w:sz w:val="22"/>
          <w:szCs w:val="22"/>
          <w:lang w:val="el-GR"/>
        </w:rPr>
      </w:pPr>
    </w:p>
    <w:p w14:paraId="0EC8B1AA" w14:textId="77777777" w:rsidR="00C51222" w:rsidRDefault="00C51222" w:rsidP="00C51222">
      <w:pPr>
        <w:ind w:left="142" w:right="5"/>
        <w:jc w:val="both"/>
        <w:rPr>
          <w:rFonts w:cstheme="minorHAnsi"/>
          <w:b/>
          <w:bCs/>
          <w:color w:val="243587"/>
          <w:sz w:val="22"/>
          <w:szCs w:val="22"/>
          <w:lang w:val="el-GR"/>
        </w:rPr>
      </w:pPr>
      <w:r>
        <w:rPr>
          <w:rFonts w:cstheme="minorHAnsi"/>
          <w:b/>
          <w:bCs/>
          <w:color w:val="243587"/>
          <w:sz w:val="22"/>
          <w:szCs w:val="22"/>
          <w:lang w:val="el-GR"/>
        </w:rPr>
        <w:t xml:space="preserve"> </w:t>
      </w:r>
    </w:p>
    <w:p w14:paraId="44547703" w14:textId="77777777" w:rsidR="00C51222" w:rsidRDefault="00C51222" w:rsidP="00C51222">
      <w:p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>Αθήνα, 24 Μαΐου 2024</w:t>
      </w:r>
    </w:p>
    <w:p w14:paraId="77668707" w14:textId="77777777" w:rsidR="00C51222" w:rsidRPr="00C51222" w:rsidRDefault="00C51222" w:rsidP="00C51222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</w:p>
    <w:p w14:paraId="335708B0" w14:textId="728DB701" w:rsidR="00C51222" w:rsidRDefault="00C51222" w:rsidP="00C51222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>Η AEGEAN ανακοινώνει τα βασικά οικονομικά και λειτουργικά αποτελέσματα του πρώτου τριμήνου 2024.</w:t>
      </w:r>
      <w:r w:rsidRPr="003B32C4">
        <w:rPr>
          <w:rFonts w:cstheme="minorHAnsi"/>
          <w:color w:val="243587"/>
          <w:sz w:val="22"/>
          <w:szCs w:val="22"/>
          <w:lang w:val="el-GR"/>
        </w:rPr>
        <w:t xml:space="preserve">  </w:t>
      </w:r>
      <w:r w:rsidRPr="002938A6">
        <w:rPr>
          <w:rFonts w:cstheme="minorHAnsi"/>
          <w:color w:val="243587"/>
          <w:sz w:val="22"/>
          <w:szCs w:val="22"/>
          <w:lang w:val="el-GR"/>
        </w:rPr>
        <w:t xml:space="preserve">Ο κύκλος εργασιών </w:t>
      </w:r>
      <w:r>
        <w:rPr>
          <w:rFonts w:cstheme="minorHAnsi"/>
          <w:color w:val="243587"/>
          <w:sz w:val="22"/>
          <w:szCs w:val="22"/>
          <w:lang w:val="el-GR"/>
        </w:rPr>
        <w:t xml:space="preserve">το πρώτο τρίμηνο </w:t>
      </w:r>
      <w:r w:rsidRPr="002938A6">
        <w:rPr>
          <w:rFonts w:cstheme="minorHAnsi"/>
          <w:color w:val="243587"/>
          <w:sz w:val="22"/>
          <w:szCs w:val="22"/>
          <w:lang w:val="el-GR"/>
        </w:rPr>
        <w:t>ανήλθε σε €</w:t>
      </w:r>
      <w:r>
        <w:rPr>
          <w:rFonts w:cstheme="minorHAnsi"/>
          <w:color w:val="243587"/>
          <w:sz w:val="22"/>
          <w:szCs w:val="22"/>
          <w:lang w:val="el-GR"/>
        </w:rPr>
        <w:t>268,8</w:t>
      </w:r>
      <w:r w:rsidRPr="002938A6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>εκατ</w:t>
      </w:r>
      <w:r w:rsidRPr="002938A6">
        <w:rPr>
          <w:rFonts w:cstheme="minorHAnsi"/>
          <w:color w:val="243587"/>
          <w:sz w:val="22"/>
          <w:szCs w:val="22"/>
          <w:lang w:val="el-GR"/>
        </w:rPr>
        <w:t xml:space="preserve">., αυξημένος κατά </w:t>
      </w:r>
      <w:r>
        <w:rPr>
          <w:rFonts w:cstheme="minorHAnsi"/>
          <w:color w:val="243587"/>
          <w:sz w:val="22"/>
          <w:szCs w:val="22"/>
          <w:lang w:val="el-GR"/>
        </w:rPr>
        <w:t>17</w:t>
      </w:r>
      <w:r w:rsidRPr="002938A6">
        <w:rPr>
          <w:rFonts w:cstheme="minorHAnsi"/>
          <w:color w:val="243587"/>
          <w:sz w:val="22"/>
          <w:szCs w:val="22"/>
          <w:lang w:val="el-GR"/>
        </w:rPr>
        <w:t xml:space="preserve">% σε σχέση με το </w:t>
      </w:r>
      <w:r>
        <w:rPr>
          <w:rFonts w:cstheme="minorHAnsi"/>
          <w:color w:val="243587"/>
          <w:sz w:val="22"/>
          <w:szCs w:val="22"/>
          <w:lang w:val="el-GR"/>
        </w:rPr>
        <w:t xml:space="preserve">πρώτο τρίμηνο του </w:t>
      </w:r>
      <w:r w:rsidRPr="002938A6">
        <w:rPr>
          <w:rFonts w:cstheme="minorHAnsi"/>
          <w:color w:val="243587"/>
          <w:sz w:val="22"/>
          <w:szCs w:val="22"/>
          <w:lang w:val="el-GR"/>
        </w:rPr>
        <w:t>202</w:t>
      </w:r>
      <w:r>
        <w:rPr>
          <w:rFonts w:cstheme="minorHAnsi"/>
          <w:color w:val="243587"/>
          <w:sz w:val="22"/>
          <w:szCs w:val="22"/>
          <w:lang w:val="el-GR"/>
        </w:rPr>
        <w:t>3.</w:t>
      </w:r>
    </w:p>
    <w:p w14:paraId="2CF50634" w14:textId="7613D19E" w:rsidR="00C51222" w:rsidRDefault="00C51222" w:rsidP="00C51222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 xml:space="preserve">Σε συνέχεια της υψηλής δυναμικής του 2023, η </w:t>
      </w:r>
      <w:r w:rsidRPr="00C57299">
        <w:rPr>
          <w:rFonts w:cstheme="minorHAnsi"/>
          <w:color w:val="243587"/>
          <w:sz w:val="22"/>
          <w:szCs w:val="22"/>
          <w:lang w:val="el-GR"/>
        </w:rPr>
        <w:t>AEGEAN</w:t>
      </w:r>
      <w:r w:rsidRPr="002A2F42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 xml:space="preserve">συνέχισε την αναπτυξιακή της πορεία με περαιτέρω αύξηση της χωρητικότητας και τους χειμερινούς μήνες. Ο Όμιλος προσέφερε 10% περισσότερες θέσεις στο δίκτυο εξωτερικού σε 85 απευθείας συνδέσεις από </w:t>
      </w:r>
      <w:r w:rsidR="00F61703">
        <w:rPr>
          <w:rFonts w:cstheme="minorHAnsi"/>
          <w:color w:val="243587"/>
          <w:sz w:val="22"/>
          <w:szCs w:val="22"/>
          <w:lang w:val="el-GR"/>
        </w:rPr>
        <w:t>τα</w:t>
      </w:r>
      <w:r>
        <w:rPr>
          <w:rFonts w:cstheme="minorHAnsi"/>
          <w:color w:val="243587"/>
          <w:sz w:val="22"/>
          <w:szCs w:val="22"/>
          <w:lang w:val="el-GR"/>
        </w:rPr>
        <w:t xml:space="preserve"> δύο κύρια αεροδρόμια της χώρας. Συνολικά, ο Όμιλος προσέφερε 3</w:t>
      </w:r>
      <w:r w:rsidR="00CD6FD8" w:rsidRPr="00CD6FD8">
        <w:rPr>
          <w:rFonts w:cstheme="minorHAnsi"/>
          <w:color w:val="243587"/>
          <w:sz w:val="22"/>
          <w:szCs w:val="22"/>
          <w:lang w:val="el-GR"/>
        </w:rPr>
        <w:t>,</w:t>
      </w:r>
      <w:r w:rsidR="00CD6FD8">
        <w:rPr>
          <w:rFonts w:cstheme="minorHAnsi"/>
          <w:color w:val="243587"/>
          <w:sz w:val="22"/>
          <w:szCs w:val="22"/>
          <w:lang w:val="el-GR"/>
        </w:rPr>
        <w:t>8</w:t>
      </w:r>
      <w:r w:rsidR="00CD6FD8" w:rsidRPr="00CD6FD8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CD6FD8">
        <w:rPr>
          <w:rFonts w:cstheme="minorHAnsi"/>
          <w:color w:val="243587"/>
          <w:sz w:val="22"/>
          <w:szCs w:val="22"/>
          <w:lang w:val="el-GR"/>
        </w:rPr>
        <w:t>δις.</w:t>
      </w:r>
      <w:r>
        <w:rPr>
          <w:rFonts w:cstheme="minorHAnsi"/>
          <w:color w:val="243587"/>
          <w:sz w:val="22"/>
          <w:szCs w:val="22"/>
          <w:lang w:val="el-GR"/>
        </w:rPr>
        <w:t xml:space="preserve"> χιλιομετρικές θέσεις, 12% περισσότερες σε σχέση με το πρώτο τρίμηνο του 2023 και μετέφερε 2,</w:t>
      </w:r>
      <w:r w:rsidR="004C151D" w:rsidRPr="004C151D">
        <w:rPr>
          <w:rFonts w:cstheme="minorHAnsi"/>
          <w:color w:val="243587"/>
          <w:sz w:val="22"/>
          <w:szCs w:val="22"/>
          <w:lang w:val="el-GR"/>
        </w:rPr>
        <w:t>9</w:t>
      </w:r>
      <w:r>
        <w:rPr>
          <w:rFonts w:cstheme="minorHAnsi"/>
          <w:color w:val="243587"/>
          <w:sz w:val="22"/>
          <w:szCs w:val="22"/>
          <w:lang w:val="el-GR"/>
        </w:rPr>
        <w:t xml:space="preserve"> εκατ. επιβάτες, 11% περισσότερους σε σχέση με το πρώτο τρίμηνο του 2023, εκ των οποίων 1,7 εκατ. επιβάτες από/προς προορισμούς του εξωτερικού.</w:t>
      </w:r>
      <w:r w:rsidRPr="00E70260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 xml:space="preserve">Ο συντελεστής πληρότητας διαμορφώθηκε στο 82%. </w:t>
      </w:r>
    </w:p>
    <w:p w14:paraId="4EFBD08E" w14:textId="58F99220" w:rsidR="00C51222" w:rsidRPr="002E037E" w:rsidRDefault="00AE7285" w:rsidP="00C51222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 xml:space="preserve">Η </w:t>
      </w:r>
      <w:r w:rsidR="00C51222" w:rsidRPr="00C57299">
        <w:rPr>
          <w:rFonts w:cstheme="minorHAnsi"/>
          <w:color w:val="243587"/>
          <w:sz w:val="22"/>
          <w:szCs w:val="22"/>
          <w:lang w:val="el-GR"/>
        </w:rPr>
        <w:t>AEGEAN</w:t>
      </w:r>
      <w:r w:rsidR="00C51222" w:rsidRPr="009A7006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C51222">
        <w:rPr>
          <w:rFonts w:cstheme="minorHAnsi"/>
          <w:color w:val="243587"/>
          <w:sz w:val="22"/>
          <w:szCs w:val="22"/>
          <w:lang w:val="el-GR"/>
        </w:rPr>
        <w:t xml:space="preserve">παρέμεινε σταθερή στη στρατηγική ανάπτυξης και σε συνδυασμό με την ορθολογική διαχείριση του κόστους της, πέτυχε </w:t>
      </w:r>
      <w:r w:rsidR="000B681C">
        <w:rPr>
          <w:rFonts w:cstheme="minorHAnsi"/>
          <w:color w:val="243587"/>
          <w:sz w:val="22"/>
          <w:szCs w:val="22"/>
          <w:lang w:val="el-GR"/>
        </w:rPr>
        <w:t>αύξηση</w:t>
      </w:r>
      <w:r w:rsidR="00C51222">
        <w:rPr>
          <w:rFonts w:cstheme="minorHAnsi"/>
          <w:color w:val="243587"/>
          <w:sz w:val="22"/>
          <w:szCs w:val="22"/>
          <w:lang w:val="el-GR"/>
        </w:rPr>
        <w:t xml:space="preserve"> των κερδών ΕΒΙΤ</w:t>
      </w:r>
      <w:r w:rsidR="00C51222" w:rsidRPr="00C57299">
        <w:rPr>
          <w:rFonts w:cstheme="minorHAnsi"/>
          <w:color w:val="243587"/>
          <w:sz w:val="22"/>
          <w:szCs w:val="22"/>
          <w:lang w:val="el-GR"/>
        </w:rPr>
        <w:t>DA</w:t>
      </w:r>
      <w:r w:rsidR="00C51222" w:rsidRPr="000D7544">
        <w:rPr>
          <w:rFonts w:cstheme="minorHAnsi"/>
          <w:color w:val="243587"/>
          <w:sz w:val="22"/>
          <w:szCs w:val="22"/>
          <w:lang w:val="el-GR"/>
        </w:rPr>
        <w:t>,</w:t>
      </w:r>
      <w:r w:rsidR="00C51222">
        <w:rPr>
          <w:rFonts w:cstheme="minorHAnsi"/>
          <w:color w:val="243587"/>
          <w:sz w:val="22"/>
          <w:szCs w:val="22"/>
          <w:lang w:val="el-GR"/>
        </w:rPr>
        <w:t xml:space="preserve"> ήτοι κέρδη €3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3</w:t>
      </w:r>
      <w:r w:rsidR="00C51222">
        <w:rPr>
          <w:rFonts w:cstheme="minorHAnsi"/>
          <w:color w:val="243587"/>
          <w:sz w:val="22"/>
          <w:szCs w:val="22"/>
          <w:lang w:val="el-GR"/>
        </w:rPr>
        <w:t>,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2</w:t>
      </w:r>
      <w:r w:rsidR="00C51222">
        <w:rPr>
          <w:rFonts w:cstheme="minorHAnsi"/>
          <w:color w:val="243587"/>
          <w:sz w:val="22"/>
          <w:szCs w:val="22"/>
          <w:lang w:val="el-GR"/>
        </w:rPr>
        <w:t xml:space="preserve"> εκατ. από κέρδη €19,3 εκατ. την αντίστοιχη περίοδο του 2023, </w:t>
      </w:r>
      <w:r w:rsidR="002E037E">
        <w:rPr>
          <w:rFonts w:cstheme="minorHAnsi"/>
          <w:color w:val="243587"/>
          <w:sz w:val="22"/>
          <w:szCs w:val="22"/>
          <w:lang w:val="el-GR"/>
        </w:rPr>
        <w:t>αλλ</w:t>
      </w:r>
      <w:r w:rsidR="00DA201A">
        <w:rPr>
          <w:rFonts w:cstheme="minorHAnsi"/>
          <w:color w:val="243587"/>
          <w:sz w:val="22"/>
          <w:szCs w:val="22"/>
          <w:lang w:val="el-GR"/>
        </w:rPr>
        <w:t>ά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και βελτ</w:t>
      </w:r>
      <w:r w:rsidR="00DA201A">
        <w:rPr>
          <w:rFonts w:cstheme="minorHAnsi"/>
          <w:color w:val="243587"/>
          <w:sz w:val="22"/>
          <w:szCs w:val="22"/>
          <w:lang w:val="el-GR"/>
        </w:rPr>
        <w:t>ί</w:t>
      </w:r>
      <w:r w:rsidR="002E037E">
        <w:rPr>
          <w:rFonts w:cstheme="minorHAnsi"/>
          <w:color w:val="243587"/>
          <w:sz w:val="22"/>
          <w:szCs w:val="22"/>
          <w:lang w:val="el-GR"/>
        </w:rPr>
        <w:t>ωσε τ</w:t>
      </w:r>
      <w:r w:rsidR="00123F7E">
        <w:rPr>
          <w:rFonts w:cstheme="minorHAnsi"/>
          <w:color w:val="243587"/>
          <w:sz w:val="22"/>
          <w:szCs w:val="22"/>
          <w:lang w:val="el-GR"/>
        </w:rPr>
        <w:t>α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λειτουργικ</w:t>
      </w:r>
      <w:r w:rsidR="00123F7E">
        <w:rPr>
          <w:rFonts w:cstheme="minorHAnsi"/>
          <w:color w:val="243587"/>
          <w:sz w:val="22"/>
          <w:szCs w:val="22"/>
          <w:lang w:val="el-GR"/>
        </w:rPr>
        <w:t>ά</w:t>
      </w:r>
      <w:r w:rsidR="00DA201A">
        <w:rPr>
          <w:rFonts w:cstheme="minorHAnsi"/>
          <w:color w:val="243587"/>
          <w:sz w:val="22"/>
          <w:szCs w:val="22"/>
          <w:lang w:val="el-GR"/>
        </w:rPr>
        <w:t xml:space="preserve"> της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α</w:t>
      </w:r>
      <w:r w:rsidR="00123F7E">
        <w:rPr>
          <w:rFonts w:cstheme="minorHAnsi"/>
          <w:color w:val="243587"/>
          <w:sz w:val="22"/>
          <w:szCs w:val="22"/>
          <w:lang w:val="el-GR"/>
        </w:rPr>
        <w:t>ποτελέσματα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2E037E" w:rsidRPr="002E037E">
        <w:rPr>
          <w:rFonts w:cstheme="minorHAnsi"/>
          <w:color w:val="243587"/>
          <w:sz w:val="22"/>
          <w:szCs w:val="22"/>
          <w:lang w:val="el-GR"/>
        </w:rPr>
        <w:t>(</w:t>
      </w:r>
      <w:r w:rsidR="002E037E" w:rsidRPr="00C57299">
        <w:rPr>
          <w:rFonts w:cstheme="minorHAnsi"/>
          <w:color w:val="243587"/>
          <w:sz w:val="22"/>
          <w:szCs w:val="22"/>
          <w:lang w:val="el-GR"/>
        </w:rPr>
        <w:t>EBIT</w:t>
      </w:r>
      <w:r w:rsidR="002E037E" w:rsidRPr="002E037E">
        <w:rPr>
          <w:rFonts w:cstheme="minorHAnsi"/>
          <w:color w:val="243587"/>
          <w:sz w:val="22"/>
          <w:szCs w:val="22"/>
          <w:lang w:val="el-GR"/>
        </w:rPr>
        <w:t xml:space="preserve">) </w:t>
      </w:r>
      <w:r w:rsidR="002E037E">
        <w:rPr>
          <w:rFonts w:cstheme="minorHAnsi"/>
          <w:color w:val="243587"/>
          <w:sz w:val="22"/>
          <w:szCs w:val="22"/>
          <w:lang w:val="el-GR"/>
        </w:rPr>
        <w:t>με μικρ</w:t>
      </w:r>
      <w:r w:rsidR="00DA201A">
        <w:rPr>
          <w:rFonts w:cstheme="minorHAnsi"/>
          <w:color w:val="243587"/>
          <w:sz w:val="22"/>
          <w:szCs w:val="22"/>
          <w:lang w:val="el-GR"/>
        </w:rPr>
        <w:t>ό</w:t>
      </w:r>
      <w:r w:rsidR="002E037E">
        <w:rPr>
          <w:rFonts w:cstheme="minorHAnsi"/>
          <w:color w:val="243587"/>
          <w:sz w:val="22"/>
          <w:szCs w:val="22"/>
          <w:lang w:val="el-GR"/>
        </w:rPr>
        <w:t>τερες ζημ</w:t>
      </w:r>
      <w:r w:rsidR="00DA201A">
        <w:rPr>
          <w:rFonts w:cstheme="minorHAnsi"/>
          <w:color w:val="243587"/>
          <w:sz w:val="22"/>
          <w:szCs w:val="22"/>
          <w:lang w:val="el-GR"/>
        </w:rPr>
        <w:t>ί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ες </w:t>
      </w:r>
      <w:r w:rsidR="00F61703">
        <w:rPr>
          <w:rFonts w:cstheme="minorHAnsi"/>
          <w:color w:val="243587"/>
          <w:sz w:val="22"/>
          <w:szCs w:val="22"/>
          <w:lang w:val="el-GR"/>
        </w:rPr>
        <w:t>€</w:t>
      </w:r>
      <w:r w:rsidR="002E037E">
        <w:rPr>
          <w:rFonts w:cstheme="minorHAnsi"/>
          <w:color w:val="243587"/>
          <w:sz w:val="22"/>
          <w:szCs w:val="22"/>
          <w:lang w:val="el-GR"/>
        </w:rPr>
        <w:t>7</w:t>
      </w:r>
      <w:r w:rsidR="00DA201A">
        <w:rPr>
          <w:rFonts w:cstheme="minorHAnsi"/>
          <w:color w:val="243587"/>
          <w:sz w:val="22"/>
          <w:szCs w:val="22"/>
          <w:lang w:val="el-GR"/>
        </w:rPr>
        <w:t>,</w:t>
      </w:r>
      <w:r w:rsidR="002E037E">
        <w:rPr>
          <w:rFonts w:cstheme="minorHAnsi"/>
          <w:color w:val="243587"/>
          <w:sz w:val="22"/>
          <w:szCs w:val="22"/>
          <w:lang w:val="el-GR"/>
        </w:rPr>
        <w:t>2 εκ</w:t>
      </w:r>
      <w:r w:rsidR="00F61703">
        <w:rPr>
          <w:rFonts w:cstheme="minorHAnsi"/>
          <w:color w:val="243587"/>
          <w:sz w:val="22"/>
          <w:szCs w:val="22"/>
          <w:lang w:val="el-GR"/>
        </w:rPr>
        <w:t>ατ.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έ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ναντι </w:t>
      </w:r>
      <w:r w:rsidR="00F61703">
        <w:rPr>
          <w:rFonts w:cstheme="minorHAnsi"/>
          <w:color w:val="243587"/>
          <w:sz w:val="22"/>
          <w:szCs w:val="22"/>
          <w:lang w:val="el-GR"/>
        </w:rPr>
        <w:t>€</w:t>
      </w:r>
      <w:r w:rsidR="002E037E">
        <w:rPr>
          <w:rFonts w:cstheme="minorHAnsi"/>
          <w:color w:val="243587"/>
          <w:sz w:val="22"/>
          <w:szCs w:val="22"/>
          <w:lang w:val="el-GR"/>
        </w:rPr>
        <w:t>14</w:t>
      </w:r>
      <w:r w:rsidR="00DA201A">
        <w:rPr>
          <w:rFonts w:cstheme="minorHAnsi"/>
          <w:color w:val="243587"/>
          <w:sz w:val="22"/>
          <w:szCs w:val="22"/>
          <w:lang w:val="el-GR"/>
        </w:rPr>
        <w:t>,</w:t>
      </w:r>
      <w:r w:rsidR="002E037E">
        <w:rPr>
          <w:rFonts w:cstheme="minorHAnsi"/>
          <w:color w:val="243587"/>
          <w:sz w:val="22"/>
          <w:szCs w:val="22"/>
          <w:lang w:val="el-GR"/>
        </w:rPr>
        <w:t>7</w:t>
      </w:r>
      <w:r w:rsidR="00F61703">
        <w:rPr>
          <w:rFonts w:cstheme="minorHAnsi"/>
          <w:color w:val="243587"/>
          <w:sz w:val="22"/>
          <w:szCs w:val="22"/>
          <w:lang w:val="el-GR"/>
        </w:rPr>
        <w:t xml:space="preserve"> εκατ.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το 2023. </w:t>
      </w:r>
    </w:p>
    <w:p w14:paraId="2D7CC55B" w14:textId="09DCF3F9" w:rsidR="00C51222" w:rsidRPr="003B32C4" w:rsidRDefault="00C51222" w:rsidP="00C51222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 xml:space="preserve">Ο Όμιλος συνεχίζει απρόσκοπτα το επενδυτικό του πλάνο στο νέο στόλο έχοντας παραλάβει </w:t>
      </w:r>
      <w:r w:rsidR="000D52B3" w:rsidRPr="000D52B3">
        <w:rPr>
          <w:rFonts w:cstheme="minorHAnsi"/>
          <w:color w:val="243587"/>
          <w:sz w:val="22"/>
          <w:szCs w:val="22"/>
          <w:lang w:val="el-GR"/>
        </w:rPr>
        <w:t>7</w:t>
      </w:r>
      <w:r>
        <w:rPr>
          <w:rFonts w:cstheme="minorHAnsi"/>
          <w:color w:val="243587"/>
          <w:sz w:val="22"/>
          <w:szCs w:val="22"/>
          <w:lang w:val="el-GR"/>
        </w:rPr>
        <w:t xml:space="preserve"> νέα αεροσκάφη σε σχέση με το Μάρτιο του 2023 ενώ έχει προβεί και σε επέκταση λειτουργικών μισθώσεων φθάνοντ</w:t>
      </w:r>
      <w:r w:rsidR="00EE7E2C">
        <w:rPr>
          <w:rFonts w:cstheme="minorHAnsi"/>
          <w:color w:val="243587"/>
          <w:sz w:val="22"/>
          <w:szCs w:val="22"/>
          <w:lang w:val="el-GR"/>
        </w:rPr>
        <w:t>α</w:t>
      </w:r>
      <w:r>
        <w:rPr>
          <w:rFonts w:cstheme="minorHAnsi"/>
          <w:color w:val="243587"/>
          <w:sz w:val="22"/>
          <w:szCs w:val="22"/>
          <w:lang w:val="el-GR"/>
        </w:rPr>
        <w:t xml:space="preserve">ς συνολικά τα </w:t>
      </w:r>
      <w:r w:rsidR="009F66F0">
        <w:rPr>
          <w:rFonts w:cstheme="minorHAnsi"/>
          <w:color w:val="243587"/>
          <w:sz w:val="22"/>
          <w:szCs w:val="22"/>
          <w:lang w:val="el-GR"/>
        </w:rPr>
        <w:t>79</w:t>
      </w:r>
      <w:r>
        <w:rPr>
          <w:rFonts w:cstheme="minorHAnsi"/>
          <w:color w:val="243587"/>
          <w:sz w:val="22"/>
          <w:szCs w:val="22"/>
          <w:lang w:val="el-GR"/>
        </w:rPr>
        <w:t xml:space="preserve"> αεροσκάφη, με αποτέλεσμα το κονδύλι των αποσβέσεων να έχει αυξηθεί κατά 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19</w:t>
      </w:r>
      <w:r>
        <w:rPr>
          <w:rFonts w:cstheme="minorHAnsi"/>
          <w:color w:val="243587"/>
          <w:sz w:val="22"/>
          <w:szCs w:val="22"/>
          <w:lang w:val="el-GR"/>
        </w:rPr>
        <w:t>% σε σχέση με την αντίστοιχη περίοδο του 2023.</w:t>
      </w:r>
    </w:p>
    <w:p w14:paraId="26AC11DF" w14:textId="20CE2836" w:rsidR="00C51222" w:rsidRDefault="002E037E" w:rsidP="00A454A8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lastRenderedPageBreak/>
        <w:t>Παρ</w:t>
      </w:r>
      <w:r w:rsidR="00DA201A">
        <w:rPr>
          <w:rFonts w:cstheme="minorHAnsi"/>
          <w:color w:val="243587"/>
          <w:sz w:val="22"/>
          <w:szCs w:val="22"/>
          <w:lang w:val="el-GR"/>
        </w:rPr>
        <w:t>ά</w:t>
      </w:r>
      <w:r>
        <w:rPr>
          <w:rFonts w:cstheme="minorHAnsi"/>
          <w:color w:val="243587"/>
          <w:sz w:val="22"/>
          <w:szCs w:val="22"/>
          <w:lang w:val="el-GR"/>
        </w:rPr>
        <w:t xml:space="preserve"> τη βελ</w:t>
      </w:r>
      <w:r w:rsidR="00DA201A">
        <w:rPr>
          <w:rFonts w:cstheme="minorHAnsi"/>
          <w:color w:val="243587"/>
          <w:sz w:val="22"/>
          <w:szCs w:val="22"/>
          <w:lang w:val="el-GR"/>
        </w:rPr>
        <w:t>τίωση τ</w:t>
      </w:r>
      <w:r>
        <w:rPr>
          <w:rFonts w:cstheme="minorHAnsi"/>
          <w:color w:val="243587"/>
          <w:sz w:val="22"/>
          <w:szCs w:val="22"/>
          <w:lang w:val="el-GR"/>
        </w:rPr>
        <w:t xml:space="preserve">ης </w:t>
      </w:r>
      <w:r w:rsidR="00DA201A">
        <w:rPr>
          <w:rFonts w:cstheme="minorHAnsi"/>
          <w:color w:val="243587"/>
          <w:sz w:val="22"/>
          <w:szCs w:val="22"/>
          <w:lang w:val="el-GR"/>
        </w:rPr>
        <w:t>λειτουργικής</w:t>
      </w:r>
      <w:r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κερδοφορίας</w:t>
      </w:r>
      <w:r>
        <w:rPr>
          <w:rFonts w:cstheme="minorHAnsi"/>
          <w:color w:val="243587"/>
          <w:sz w:val="22"/>
          <w:szCs w:val="22"/>
          <w:lang w:val="el-GR"/>
        </w:rPr>
        <w:t xml:space="preserve"> ο</w:t>
      </w:r>
      <w:r w:rsidR="00C51222">
        <w:rPr>
          <w:rFonts w:cstheme="minorHAnsi"/>
          <w:color w:val="243587"/>
          <w:sz w:val="22"/>
          <w:szCs w:val="22"/>
          <w:lang w:val="el-GR"/>
        </w:rPr>
        <w:t>ι ζημίες μετά από φόρους διαμορφώθηκαν σε €2</w:t>
      </w:r>
      <w:r>
        <w:rPr>
          <w:rFonts w:cstheme="minorHAnsi"/>
          <w:color w:val="243587"/>
          <w:sz w:val="22"/>
          <w:szCs w:val="22"/>
          <w:lang w:val="el-GR"/>
        </w:rPr>
        <w:t>1</w:t>
      </w:r>
      <w:r w:rsidR="00C51222">
        <w:rPr>
          <w:rFonts w:cstheme="minorHAnsi"/>
          <w:color w:val="243587"/>
          <w:sz w:val="22"/>
          <w:szCs w:val="22"/>
          <w:lang w:val="el-GR"/>
        </w:rPr>
        <w:t>,</w:t>
      </w:r>
      <w:r w:rsidR="00DA201A">
        <w:rPr>
          <w:rFonts w:cstheme="minorHAnsi"/>
          <w:color w:val="243587"/>
          <w:sz w:val="22"/>
          <w:szCs w:val="22"/>
          <w:lang w:val="el-GR"/>
        </w:rPr>
        <w:t>0</w:t>
      </w:r>
      <w:r w:rsidR="00C51222">
        <w:rPr>
          <w:rFonts w:cstheme="minorHAnsi"/>
          <w:color w:val="243587"/>
          <w:sz w:val="22"/>
          <w:szCs w:val="22"/>
          <w:lang w:val="el-GR"/>
        </w:rPr>
        <w:t xml:space="preserve"> εκατ. από ζημίες €1</w:t>
      </w:r>
      <w:r>
        <w:rPr>
          <w:rFonts w:cstheme="minorHAnsi"/>
          <w:color w:val="243587"/>
          <w:sz w:val="22"/>
          <w:szCs w:val="22"/>
          <w:lang w:val="el-GR"/>
        </w:rPr>
        <w:t>4</w:t>
      </w:r>
      <w:r w:rsidR="00DA201A">
        <w:rPr>
          <w:rFonts w:cstheme="minorHAnsi"/>
          <w:color w:val="243587"/>
          <w:sz w:val="22"/>
          <w:szCs w:val="22"/>
          <w:lang w:val="el-GR"/>
        </w:rPr>
        <w:t>,4</w:t>
      </w:r>
      <w:r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C51222">
        <w:rPr>
          <w:rFonts w:cstheme="minorHAnsi"/>
          <w:color w:val="243587"/>
          <w:sz w:val="22"/>
          <w:szCs w:val="22"/>
          <w:lang w:val="el-GR"/>
        </w:rPr>
        <w:t>εκατ. το πρώτο τρίμηνο του 2023</w:t>
      </w:r>
      <w:r>
        <w:rPr>
          <w:rFonts w:cstheme="minorHAnsi"/>
          <w:color w:val="243587"/>
          <w:sz w:val="22"/>
          <w:szCs w:val="22"/>
          <w:lang w:val="el-GR"/>
        </w:rPr>
        <w:t>, λ</w:t>
      </w:r>
      <w:r w:rsidR="00DA201A">
        <w:rPr>
          <w:rFonts w:cstheme="minorHAnsi"/>
          <w:color w:val="243587"/>
          <w:sz w:val="22"/>
          <w:szCs w:val="22"/>
          <w:lang w:val="el-GR"/>
        </w:rPr>
        <w:t>ό</w:t>
      </w:r>
      <w:r>
        <w:rPr>
          <w:rFonts w:cstheme="minorHAnsi"/>
          <w:color w:val="243587"/>
          <w:sz w:val="22"/>
          <w:szCs w:val="22"/>
          <w:lang w:val="el-GR"/>
        </w:rPr>
        <w:t>γω της αρνητικ</w:t>
      </w:r>
      <w:r w:rsidR="00DA201A">
        <w:rPr>
          <w:rFonts w:cstheme="minorHAnsi"/>
          <w:color w:val="243587"/>
          <w:sz w:val="22"/>
          <w:szCs w:val="22"/>
          <w:lang w:val="el-GR"/>
        </w:rPr>
        <w:t>ή</w:t>
      </w:r>
      <w:r>
        <w:rPr>
          <w:rFonts w:cstheme="minorHAnsi"/>
          <w:color w:val="243587"/>
          <w:sz w:val="22"/>
          <w:szCs w:val="22"/>
          <w:lang w:val="el-GR"/>
        </w:rPr>
        <w:t>ς μεταβολ</w:t>
      </w:r>
      <w:r w:rsidR="00DA201A">
        <w:rPr>
          <w:rFonts w:cstheme="minorHAnsi"/>
          <w:color w:val="243587"/>
          <w:sz w:val="22"/>
          <w:szCs w:val="22"/>
          <w:lang w:val="el-GR"/>
        </w:rPr>
        <w:t>ή</w:t>
      </w:r>
      <w:r>
        <w:rPr>
          <w:rFonts w:cstheme="minorHAnsi"/>
          <w:color w:val="243587"/>
          <w:sz w:val="22"/>
          <w:szCs w:val="22"/>
          <w:lang w:val="el-GR"/>
        </w:rPr>
        <w:t>ς στην ισοτιμ</w:t>
      </w:r>
      <w:r w:rsidR="00DA201A">
        <w:rPr>
          <w:rFonts w:cstheme="minorHAnsi"/>
          <w:color w:val="243587"/>
          <w:sz w:val="22"/>
          <w:szCs w:val="22"/>
          <w:lang w:val="el-GR"/>
        </w:rPr>
        <w:t>ί</w:t>
      </w:r>
      <w:r>
        <w:rPr>
          <w:rFonts w:cstheme="minorHAnsi"/>
          <w:color w:val="243587"/>
          <w:sz w:val="22"/>
          <w:szCs w:val="22"/>
          <w:lang w:val="el-GR"/>
        </w:rPr>
        <w:t xml:space="preserve">α του </w:t>
      </w:r>
      <w:r w:rsidR="00DA201A">
        <w:rPr>
          <w:rFonts w:cstheme="minorHAnsi"/>
          <w:color w:val="243587"/>
          <w:sz w:val="22"/>
          <w:szCs w:val="22"/>
          <w:lang w:val="el-GR"/>
        </w:rPr>
        <w:t>δολαρίου</w:t>
      </w:r>
      <w:r>
        <w:rPr>
          <w:rFonts w:cstheme="minorHAnsi"/>
          <w:color w:val="243587"/>
          <w:sz w:val="22"/>
          <w:szCs w:val="22"/>
          <w:lang w:val="el-GR"/>
        </w:rPr>
        <w:t xml:space="preserve"> από την αρχ</w:t>
      </w:r>
      <w:r w:rsidR="00DA201A">
        <w:rPr>
          <w:rFonts w:cstheme="minorHAnsi"/>
          <w:color w:val="243587"/>
          <w:sz w:val="22"/>
          <w:szCs w:val="22"/>
          <w:lang w:val="el-GR"/>
        </w:rPr>
        <w:t>ή</w:t>
      </w:r>
      <w:r>
        <w:rPr>
          <w:rFonts w:cstheme="minorHAnsi"/>
          <w:color w:val="243587"/>
          <w:sz w:val="22"/>
          <w:szCs w:val="22"/>
          <w:lang w:val="el-GR"/>
        </w:rPr>
        <w:t xml:space="preserve"> του </w:t>
      </w:r>
      <w:r w:rsidR="00DA201A">
        <w:rPr>
          <w:rFonts w:cstheme="minorHAnsi"/>
          <w:color w:val="243587"/>
          <w:sz w:val="22"/>
          <w:szCs w:val="22"/>
          <w:lang w:val="el-GR"/>
        </w:rPr>
        <w:t>έ</w:t>
      </w:r>
      <w:r>
        <w:rPr>
          <w:rFonts w:cstheme="minorHAnsi"/>
          <w:color w:val="243587"/>
          <w:sz w:val="22"/>
          <w:szCs w:val="22"/>
          <w:lang w:val="el-GR"/>
        </w:rPr>
        <w:t xml:space="preserve">τους που </w:t>
      </w:r>
      <w:r w:rsidR="00DA201A">
        <w:rPr>
          <w:rFonts w:cstheme="minorHAnsi"/>
          <w:color w:val="243587"/>
          <w:sz w:val="22"/>
          <w:szCs w:val="22"/>
          <w:lang w:val="el-GR"/>
        </w:rPr>
        <w:t>επηρεάζει</w:t>
      </w:r>
      <w:r>
        <w:rPr>
          <w:rFonts w:cstheme="minorHAnsi"/>
          <w:color w:val="243587"/>
          <w:sz w:val="22"/>
          <w:szCs w:val="22"/>
          <w:lang w:val="el-GR"/>
        </w:rPr>
        <w:t xml:space="preserve"> την </w:t>
      </w:r>
      <w:r w:rsidR="00123F7E">
        <w:rPr>
          <w:rFonts w:cstheme="minorHAnsi"/>
          <w:color w:val="243587"/>
          <w:sz w:val="22"/>
          <w:szCs w:val="22"/>
          <w:lang w:val="el-GR"/>
        </w:rPr>
        <w:t>αποτίμηση</w:t>
      </w:r>
      <w:r>
        <w:rPr>
          <w:rFonts w:cstheme="minorHAnsi"/>
          <w:color w:val="243587"/>
          <w:sz w:val="22"/>
          <w:szCs w:val="22"/>
          <w:lang w:val="el-GR"/>
        </w:rPr>
        <w:t xml:space="preserve"> των </w:t>
      </w:r>
      <w:r w:rsidR="00DA201A">
        <w:rPr>
          <w:rFonts w:cstheme="minorHAnsi"/>
          <w:color w:val="243587"/>
          <w:sz w:val="22"/>
          <w:szCs w:val="22"/>
          <w:lang w:val="el-GR"/>
        </w:rPr>
        <w:t>μελλοντικών</w:t>
      </w:r>
      <w:r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ροών</w:t>
      </w:r>
      <w:r>
        <w:rPr>
          <w:rFonts w:cstheme="minorHAnsi"/>
          <w:color w:val="243587"/>
          <w:sz w:val="22"/>
          <w:szCs w:val="22"/>
          <w:lang w:val="el-GR"/>
        </w:rPr>
        <w:t xml:space="preserve"> των</w:t>
      </w:r>
      <w:r w:rsidR="00EE2EF5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μισθώσεων</w:t>
      </w:r>
      <w:r w:rsidR="00EE2EF5">
        <w:rPr>
          <w:rFonts w:cstheme="minorHAnsi"/>
          <w:color w:val="243587"/>
          <w:sz w:val="22"/>
          <w:szCs w:val="22"/>
          <w:lang w:val="el-GR"/>
        </w:rPr>
        <w:t xml:space="preserve"> αεροσκαφών.</w:t>
      </w:r>
    </w:p>
    <w:p w14:paraId="32365B60" w14:textId="6B22851D" w:rsidR="00C51222" w:rsidRDefault="00C51222" w:rsidP="00A454A8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>Κατά το πρώτο τρίμηνο 202</w:t>
      </w:r>
      <w:r w:rsidR="00EE7E2C">
        <w:rPr>
          <w:rFonts w:cstheme="minorHAnsi"/>
          <w:color w:val="243587"/>
          <w:sz w:val="22"/>
          <w:szCs w:val="22"/>
          <w:lang w:val="el-GR"/>
        </w:rPr>
        <w:t>4</w:t>
      </w:r>
      <w:r>
        <w:rPr>
          <w:rFonts w:cstheme="minorHAnsi"/>
          <w:color w:val="243587"/>
          <w:sz w:val="22"/>
          <w:szCs w:val="22"/>
          <w:lang w:val="el-GR"/>
        </w:rPr>
        <w:t xml:space="preserve"> ο Όμιλος της </w:t>
      </w:r>
      <w:r w:rsidRPr="00A454A8">
        <w:rPr>
          <w:rFonts w:cstheme="minorHAnsi"/>
          <w:color w:val="243587"/>
          <w:sz w:val="22"/>
          <w:szCs w:val="22"/>
          <w:lang w:val="el-GR"/>
        </w:rPr>
        <w:t>AEGEAN</w:t>
      </w:r>
      <w:r>
        <w:rPr>
          <w:rFonts w:cstheme="minorHAnsi"/>
          <w:color w:val="243587"/>
          <w:sz w:val="22"/>
          <w:szCs w:val="22"/>
          <w:lang w:val="el-GR"/>
        </w:rPr>
        <w:t xml:space="preserve"> εμφάνισε ισχυρές καθαρές ταμειακές ροές €1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88</w:t>
      </w:r>
      <w:r>
        <w:rPr>
          <w:rFonts w:cstheme="minorHAnsi"/>
          <w:color w:val="243587"/>
          <w:sz w:val="22"/>
          <w:szCs w:val="22"/>
          <w:lang w:val="el-GR"/>
        </w:rPr>
        <w:t>,</w:t>
      </w:r>
      <w:r w:rsidR="00B6428E" w:rsidRPr="00B6428E">
        <w:rPr>
          <w:rFonts w:cstheme="minorHAnsi"/>
          <w:color w:val="243587"/>
          <w:sz w:val="22"/>
          <w:szCs w:val="22"/>
          <w:lang w:val="el-GR"/>
        </w:rPr>
        <w:t>6</w:t>
      </w:r>
      <w:r>
        <w:rPr>
          <w:rFonts w:cstheme="minorHAnsi"/>
          <w:color w:val="243587"/>
          <w:sz w:val="22"/>
          <w:szCs w:val="22"/>
          <w:lang w:val="el-GR"/>
        </w:rPr>
        <w:t xml:space="preserve"> εκατ., απόρροια και των υψηλών προ-πωλήσεων για τη θερινή περίοδο, με αποτέλεσμα τα ταμειακά διαθέσιμα, ισοδύναμα και λοιπές χρηματοοικονομικές επενδύσεις να διαμορφωθούν σε </w:t>
      </w:r>
      <w:bookmarkStart w:id="2" w:name="_Hlk167392286"/>
      <w:r>
        <w:rPr>
          <w:rFonts w:cstheme="minorHAnsi"/>
          <w:color w:val="243587"/>
          <w:sz w:val="22"/>
          <w:szCs w:val="22"/>
          <w:lang w:val="el-GR"/>
        </w:rPr>
        <w:t>€</w:t>
      </w:r>
      <w:r w:rsidR="00411B2D">
        <w:rPr>
          <w:rFonts w:cstheme="minorHAnsi"/>
          <w:color w:val="243587"/>
          <w:sz w:val="22"/>
          <w:szCs w:val="22"/>
          <w:lang w:val="el-GR"/>
        </w:rPr>
        <w:t>72</w:t>
      </w:r>
      <w:r w:rsidR="00D87A4A">
        <w:rPr>
          <w:rFonts w:cstheme="minorHAnsi"/>
          <w:color w:val="243587"/>
          <w:sz w:val="22"/>
          <w:szCs w:val="22"/>
          <w:lang w:val="el-GR"/>
        </w:rPr>
        <w:t>9</w:t>
      </w:r>
      <w:r>
        <w:rPr>
          <w:rFonts w:cstheme="minorHAnsi"/>
          <w:color w:val="243587"/>
          <w:sz w:val="22"/>
          <w:szCs w:val="22"/>
          <w:lang w:val="el-GR"/>
        </w:rPr>
        <w:t xml:space="preserve"> </w:t>
      </w:r>
      <w:bookmarkEnd w:id="2"/>
      <w:r>
        <w:rPr>
          <w:rFonts w:cstheme="minorHAnsi"/>
          <w:color w:val="243587"/>
          <w:sz w:val="22"/>
          <w:szCs w:val="22"/>
          <w:lang w:val="el-GR"/>
        </w:rPr>
        <w:t>εκατ.</w:t>
      </w:r>
      <w:r w:rsidRPr="00A454A8">
        <w:rPr>
          <w:rFonts w:cstheme="minorHAnsi"/>
          <w:color w:val="243587"/>
          <w:sz w:val="22"/>
          <w:szCs w:val="22"/>
          <w:vertAlign w:val="superscript"/>
          <w:lang w:val="el-GR"/>
        </w:rPr>
        <w:footnoteReference w:id="1"/>
      </w:r>
      <w:r>
        <w:rPr>
          <w:rFonts w:cstheme="minorHAnsi"/>
          <w:color w:val="243587"/>
          <w:sz w:val="22"/>
          <w:szCs w:val="22"/>
          <w:lang w:val="el-GR"/>
        </w:rPr>
        <w:t xml:space="preserve"> την 31.03.2024 μετά και την εξαγορά των </w:t>
      </w:r>
      <w:r w:rsidRPr="00A454A8">
        <w:rPr>
          <w:rFonts w:cstheme="minorHAnsi"/>
          <w:color w:val="243587"/>
          <w:sz w:val="22"/>
          <w:szCs w:val="22"/>
          <w:lang w:val="el-GR"/>
        </w:rPr>
        <w:t>Τίτλων Κτήσης Μετοχών</w:t>
      </w:r>
      <w:r w:rsidR="00EE2EF5">
        <w:rPr>
          <w:rFonts w:cstheme="minorHAnsi"/>
          <w:color w:val="243587"/>
          <w:sz w:val="22"/>
          <w:szCs w:val="22"/>
          <w:lang w:val="el-GR"/>
        </w:rPr>
        <w:t xml:space="preserve"> (</w:t>
      </w:r>
      <w:r w:rsidR="00EE2EF5">
        <w:rPr>
          <w:rFonts w:cstheme="minorHAnsi"/>
          <w:color w:val="243587"/>
          <w:sz w:val="22"/>
          <w:szCs w:val="22"/>
          <w:lang w:val="en-US"/>
        </w:rPr>
        <w:t>Warrants</w:t>
      </w:r>
      <w:r w:rsidR="00EE2EF5" w:rsidRPr="00EE2EF5">
        <w:rPr>
          <w:rFonts w:cstheme="minorHAnsi"/>
          <w:color w:val="243587"/>
          <w:sz w:val="22"/>
          <w:szCs w:val="22"/>
          <w:lang w:val="el-GR"/>
        </w:rPr>
        <w:t>)</w:t>
      </w:r>
      <w:r w:rsidRPr="00A454A8">
        <w:rPr>
          <w:rFonts w:cstheme="minorHAnsi"/>
          <w:color w:val="243587"/>
          <w:sz w:val="22"/>
          <w:szCs w:val="22"/>
          <w:lang w:val="el-GR"/>
        </w:rPr>
        <w:t xml:space="preserve"> και</w:t>
      </w:r>
      <w:r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Pr="00A454A8">
        <w:rPr>
          <w:rFonts w:cstheme="minorHAnsi"/>
          <w:color w:val="243587"/>
          <w:sz w:val="22"/>
          <w:szCs w:val="22"/>
          <w:lang w:val="el-GR"/>
        </w:rPr>
        <w:t>την καταβολή της Αγοραίας Αξίας ύψους €85,4 εκατ. την 02.01.2024</w:t>
      </w:r>
      <w:r>
        <w:rPr>
          <w:rFonts w:cstheme="minorHAnsi"/>
          <w:color w:val="243587"/>
          <w:sz w:val="22"/>
          <w:szCs w:val="22"/>
          <w:lang w:val="el-GR"/>
        </w:rPr>
        <w:t>.</w:t>
      </w:r>
    </w:p>
    <w:p w14:paraId="6A5C30AA" w14:textId="77777777" w:rsidR="00C51222" w:rsidRDefault="00C51222" w:rsidP="00C51222">
      <w:pPr>
        <w:tabs>
          <w:tab w:val="left" w:pos="9498"/>
        </w:tabs>
        <w:spacing w:after="240" w:line="276" w:lineRule="auto"/>
        <w:ind w:right="2268"/>
        <w:jc w:val="both"/>
        <w:rPr>
          <w:rFonts w:cstheme="minorHAnsi"/>
          <w:b/>
          <w:bCs/>
          <w:color w:val="243587"/>
          <w:sz w:val="22"/>
          <w:szCs w:val="22"/>
          <w:lang w:val="el-GR"/>
        </w:rPr>
      </w:pPr>
      <w:r>
        <w:rPr>
          <w:rFonts w:cstheme="minorHAnsi"/>
          <w:b/>
          <w:bCs/>
          <w:color w:val="243587"/>
          <w:sz w:val="22"/>
          <w:szCs w:val="22"/>
          <w:lang w:val="el-GR"/>
        </w:rPr>
        <w:t>Ο κ. Δημήτρης Γερογιάννης, Διευθύνων Σύμβουλος, ανέφερε σχετικά:</w:t>
      </w:r>
    </w:p>
    <w:p w14:paraId="7BDA82BE" w14:textId="04251776" w:rsidR="00EF14F0" w:rsidRDefault="00C51222" w:rsidP="00A454A8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 xml:space="preserve">«Η </w:t>
      </w:r>
      <w:r w:rsidR="00DA201A">
        <w:rPr>
          <w:rFonts w:cstheme="minorHAnsi"/>
          <w:color w:val="243587"/>
          <w:sz w:val="22"/>
          <w:szCs w:val="22"/>
          <w:lang w:val="el-GR"/>
        </w:rPr>
        <w:t>προσπάθεια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>της</w:t>
      </w:r>
      <w:r w:rsidRPr="002612C6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Pr="00363C60">
        <w:rPr>
          <w:rFonts w:cstheme="minorHAnsi"/>
          <w:color w:val="243587"/>
          <w:sz w:val="22"/>
          <w:szCs w:val="22"/>
          <w:lang w:val="el-GR"/>
        </w:rPr>
        <w:t>AEGEAN</w:t>
      </w:r>
      <w:r w:rsidRPr="002612C6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 xml:space="preserve">για τη βελτίωση της εποχικότητας είναι ορατή 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στην </w:t>
      </w:r>
      <w:r>
        <w:rPr>
          <w:rFonts w:cstheme="minorHAnsi"/>
          <w:color w:val="243587"/>
          <w:sz w:val="22"/>
          <w:szCs w:val="22"/>
          <w:lang w:val="el-GR"/>
        </w:rPr>
        <w:t>επένδυση στο δίκτυο εξωτερικού αλλά και τη σημαντική αύξηση τ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ου </w:t>
      </w:r>
      <w:r w:rsidR="00DA201A">
        <w:rPr>
          <w:rFonts w:cstheme="minorHAnsi"/>
          <w:color w:val="243587"/>
          <w:sz w:val="22"/>
          <w:szCs w:val="22"/>
          <w:lang w:val="el-GR"/>
        </w:rPr>
        <w:t>κύκλου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εργασιών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και της </w:t>
      </w:r>
      <w:r>
        <w:rPr>
          <w:rFonts w:cstheme="minorHAnsi"/>
          <w:color w:val="243587"/>
          <w:sz w:val="22"/>
          <w:szCs w:val="22"/>
          <w:lang w:val="el-GR"/>
        </w:rPr>
        <w:t xml:space="preserve">κίνησης το πρώτο τρίμηνο. Για ακόμα ένα τρίμηνο, το εποχικά ασθενέστερο, η </w:t>
      </w:r>
      <w:r w:rsidRPr="00363C60">
        <w:rPr>
          <w:rFonts w:cstheme="minorHAnsi"/>
          <w:color w:val="243587"/>
          <w:sz w:val="22"/>
          <w:szCs w:val="22"/>
          <w:lang w:val="el-GR"/>
        </w:rPr>
        <w:t>AEGEAN</w:t>
      </w:r>
      <w:r w:rsidRPr="00E04DD7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 xml:space="preserve">παρουσίασε υψηλότερη κερδοφορία </w:t>
      </w:r>
      <w:r w:rsidRPr="00363C60">
        <w:rPr>
          <w:rFonts w:cstheme="minorHAnsi"/>
          <w:color w:val="243587"/>
          <w:sz w:val="22"/>
          <w:szCs w:val="22"/>
          <w:lang w:val="el-GR"/>
        </w:rPr>
        <w:t>EBITDA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>
        <w:rPr>
          <w:rFonts w:cstheme="minorHAnsi"/>
          <w:color w:val="243587"/>
          <w:sz w:val="22"/>
          <w:szCs w:val="22"/>
          <w:lang w:val="el-GR"/>
        </w:rPr>
        <w:t>αποδεικνύοντας την ανθεκτική</w:t>
      </w:r>
      <w:r w:rsidR="004C1B25">
        <w:rPr>
          <w:rFonts w:cstheme="minorHAnsi"/>
          <w:color w:val="243587"/>
          <w:sz w:val="22"/>
          <w:szCs w:val="22"/>
          <w:lang w:val="el-GR"/>
        </w:rPr>
        <w:t xml:space="preserve"> της</w:t>
      </w:r>
      <w:r>
        <w:rPr>
          <w:rFonts w:cstheme="minorHAnsi"/>
          <w:color w:val="243587"/>
          <w:sz w:val="22"/>
          <w:szCs w:val="22"/>
          <w:lang w:val="el-GR"/>
        </w:rPr>
        <w:t xml:space="preserve"> βάση, την προσαρμοστικότητα και την ανταγωνιστικότητα στη διαχείριση του κόστους της.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C6771A">
        <w:rPr>
          <w:rFonts w:cstheme="minorHAnsi"/>
          <w:color w:val="243587"/>
          <w:sz w:val="22"/>
          <w:szCs w:val="22"/>
          <w:lang w:val="el-GR"/>
        </w:rPr>
        <w:t>Είμαστε έτοιμοι για μία δυναμική θερινή σεζόν, με ενίσχυση δρομολογίων, αυξημένες συχνότητες εστιάζοντας στη</w:t>
      </w:r>
      <w:r w:rsidR="00EE7E2C">
        <w:rPr>
          <w:rFonts w:cstheme="minorHAnsi"/>
          <w:color w:val="243587"/>
          <w:sz w:val="22"/>
          <w:szCs w:val="22"/>
          <w:lang w:val="el-GR"/>
        </w:rPr>
        <w:t>ν</w:t>
      </w:r>
      <w:r w:rsidR="00C6771A">
        <w:rPr>
          <w:rFonts w:cstheme="minorHAnsi"/>
          <w:color w:val="243587"/>
          <w:sz w:val="22"/>
          <w:szCs w:val="22"/>
          <w:lang w:val="el-GR"/>
        </w:rPr>
        <w:t xml:space="preserve"> περαιτέρω ανάπτυξή μας </w:t>
      </w:r>
      <w:r w:rsidR="00DA201A">
        <w:rPr>
          <w:rFonts w:cstheme="minorHAnsi"/>
          <w:color w:val="243587"/>
          <w:sz w:val="22"/>
          <w:szCs w:val="22"/>
          <w:lang w:val="el-GR"/>
        </w:rPr>
        <w:t>κυρίως</w:t>
      </w:r>
      <w:r w:rsidR="002E037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C6771A">
        <w:rPr>
          <w:rFonts w:cstheme="minorHAnsi"/>
          <w:color w:val="243587"/>
          <w:sz w:val="22"/>
          <w:szCs w:val="22"/>
          <w:lang w:val="el-GR"/>
        </w:rPr>
        <w:t>από την Αθήνα και τη Θεσσαλονίκη</w:t>
      </w:r>
      <w:r w:rsidR="00EF14F0">
        <w:rPr>
          <w:rFonts w:cstheme="minorHAnsi"/>
          <w:color w:val="243587"/>
          <w:sz w:val="22"/>
          <w:szCs w:val="22"/>
          <w:lang w:val="el-GR"/>
        </w:rPr>
        <w:t>.</w:t>
      </w:r>
    </w:p>
    <w:p w14:paraId="0ABE3A1D" w14:textId="6D314148" w:rsidR="0007019D" w:rsidRDefault="00C51222" w:rsidP="00A454A8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>
        <w:rPr>
          <w:rFonts w:cstheme="minorHAnsi"/>
          <w:color w:val="243587"/>
          <w:sz w:val="22"/>
          <w:szCs w:val="22"/>
          <w:lang w:val="el-GR"/>
        </w:rPr>
        <w:t xml:space="preserve">Εξακολουθούμε να βλέπουμε ισχυρή ζήτηση 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για την </w:t>
      </w:r>
      <w:r w:rsidR="00DA201A">
        <w:rPr>
          <w:rFonts w:cstheme="minorHAnsi"/>
          <w:color w:val="243587"/>
          <w:sz w:val="22"/>
          <w:szCs w:val="22"/>
          <w:lang w:val="el-GR"/>
        </w:rPr>
        <w:t>καλοκαιρινή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περίοδο.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Ε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ίναι </w:t>
      </w:r>
      <w:r w:rsidR="00EF14F0">
        <w:rPr>
          <w:rFonts w:cstheme="minorHAnsi"/>
          <w:color w:val="243587"/>
          <w:sz w:val="22"/>
          <w:szCs w:val="22"/>
          <w:lang w:val="el-GR"/>
        </w:rPr>
        <w:t>όμως,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ακόμη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νωρίς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για </w:t>
      </w:r>
      <w:r w:rsidR="00DA201A">
        <w:rPr>
          <w:rFonts w:cstheme="minorHAnsi"/>
          <w:color w:val="243587"/>
          <w:sz w:val="22"/>
          <w:szCs w:val="22"/>
          <w:lang w:val="el-GR"/>
        </w:rPr>
        <w:t>συνολικές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201A">
        <w:rPr>
          <w:rFonts w:cstheme="minorHAnsi"/>
          <w:color w:val="243587"/>
          <w:sz w:val="22"/>
          <w:szCs w:val="22"/>
          <w:lang w:val="el-GR"/>
        </w:rPr>
        <w:t>προβλέψεις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για την </w:t>
      </w:r>
      <w:r w:rsidR="00DA201A">
        <w:rPr>
          <w:rFonts w:cstheme="minorHAnsi"/>
          <w:color w:val="243587"/>
          <w:sz w:val="22"/>
          <w:szCs w:val="22"/>
          <w:lang w:val="el-GR"/>
        </w:rPr>
        <w:t>απόδοση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της </w:t>
      </w:r>
      <w:r w:rsidR="00DA201A">
        <w:rPr>
          <w:rFonts w:cstheme="minorHAnsi"/>
          <w:color w:val="243587"/>
          <w:sz w:val="22"/>
          <w:szCs w:val="22"/>
          <w:lang w:val="el-GR"/>
        </w:rPr>
        <w:t>καλοκαιρινής</w:t>
      </w:r>
      <w:r w:rsidR="003E319E">
        <w:rPr>
          <w:rFonts w:cstheme="minorHAnsi"/>
          <w:color w:val="243587"/>
          <w:sz w:val="22"/>
          <w:szCs w:val="22"/>
          <w:lang w:val="el-GR"/>
        </w:rPr>
        <w:t xml:space="preserve"> περ</w:t>
      </w:r>
      <w:r w:rsidR="00DA201A">
        <w:rPr>
          <w:rFonts w:cstheme="minorHAnsi"/>
          <w:color w:val="243587"/>
          <w:sz w:val="22"/>
          <w:szCs w:val="22"/>
          <w:lang w:val="el-GR"/>
        </w:rPr>
        <w:t>ιόδου</w:t>
      </w:r>
      <w:r w:rsidR="003E319E">
        <w:rPr>
          <w:rFonts w:cstheme="minorHAnsi"/>
          <w:color w:val="243587"/>
          <w:sz w:val="22"/>
          <w:szCs w:val="22"/>
          <w:lang w:val="el-GR"/>
        </w:rPr>
        <w:t>,</w:t>
      </w:r>
      <w:r>
        <w:rPr>
          <w:rFonts w:cstheme="minorHAnsi"/>
          <w:color w:val="243587"/>
          <w:sz w:val="22"/>
          <w:szCs w:val="22"/>
          <w:lang w:val="el-GR"/>
        </w:rPr>
        <w:t xml:space="preserve"> που όπως πάντα θα διαμορφώσει το αποτέλεσμα</w:t>
      </w:r>
      <w:r w:rsidR="00DA201A">
        <w:rPr>
          <w:rFonts w:cstheme="minorHAnsi"/>
          <w:color w:val="243587"/>
          <w:sz w:val="22"/>
          <w:szCs w:val="22"/>
          <w:lang w:val="el-GR"/>
        </w:rPr>
        <w:t>.</w:t>
      </w:r>
    </w:p>
    <w:p w14:paraId="3B9A22EC" w14:textId="18DC95D8" w:rsidR="0007019D" w:rsidRPr="0007019D" w:rsidRDefault="00902456" w:rsidP="00A454A8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902456">
        <w:rPr>
          <w:rFonts w:cstheme="minorHAnsi"/>
          <w:color w:val="243587"/>
          <w:sz w:val="22"/>
          <w:szCs w:val="22"/>
          <w:lang w:val="el-GR"/>
        </w:rPr>
        <w:t>Παράλληλα είναι πολύ ενθαρρυντικό ότι η προσπάθεια για την ανάπτυξη του Κέντρου Συντήρησης Αεροσκαφών και τ</w:t>
      </w:r>
      <w:r w:rsidR="008848AD">
        <w:rPr>
          <w:rFonts w:cstheme="minorHAnsi"/>
          <w:color w:val="243587"/>
          <w:sz w:val="22"/>
          <w:szCs w:val="22"/>
          <w:lang w:val="en-US"/>
        </w:rPr>
        <w:t>o</w:t>
      </w:r>
      <w:r w:rsidR="008848AD">
        <w:rPr>
          <w:rFonts w:cstheme="minorHAnsi"/>
          <w:color w:val="243587"/>
          <w:sz w:val="22"/>
          <w:szCs w:val="22"/>
          <w:lang w:val="el-GR"/>
        </w:rPr>
        <w:t>υ Κέντρου</w:t>
      </w:r>
      <w:r w:rsidRPr="00902456">
        <w:rPr>
          <w:rFonts w:cstheme="minorHAnsi"/>
          <w:color w:val="243587"/>
          <w:sz w:val="22"/>
          <w:szCs w:val="22"/>
          <w:lang w:val="el-GR"/>
        </w:rPr>
        <w:t xml:space="preserve"> Εκπαίδευσης Πληρωμάτων ωριμάζει</w:t>
      </w:r>
      <w:r>
        <w:rPr>
          <w:rFonts w:cstheme="minorHAnsi"/>
          <w:color w:val="243587"/>
          <w:sz w:val="22"/>
          <w:szCs w:val="22"/>
          <w:lang w:val="el-GR"/>
        </w:rPr>
        <w:t xml:space="preserve">. </w:t>
      </w:r>
      <w:r w:rsidRPr="00902456">
        <w:rPr>
          <w:rFonts w:cstheme="minorHAnsi"/>
          <w:color w:val="243587"/>
          <w:sz w:val="22"/>
          <w:szCs w:val="22"/>
          <w:lang w:val="el-GR"/>
        </w:rPr>
        <w:t>Μέσα σε διάστημα 12 μηνών ολοκληρώθηκαν οι εργασίες αναβάθμισης του κτηρίου</w:t>
      </w:r>
      <w:r>
        <w:rPr>
          <w:rFonts w:cstheme="minorHAnsi"/>
          <w:color w:val="243587"/>
          <w:sz w:val="22"/>
          <w:szCs w:val="22"/>
          <w:lang w:val="el-GR"/>
        </w:rPr>
        <w:t xml:space="preserve"> και ήδη </w:t>
      </w:r>
      <w:r w:rsidRPr="00902456">
        <w:rPr>
          <w:rFonts w:cstheme="minorHAnsi"/>
          <w:color w:val="243587"/>
          <w:sz w:val="22"/>
          <w:szCs w:val="22"/>
          <w:lang w:val="el-GR"/>
        </w:rPr>
        <w:t>οι πρώτοι 4 προσομοιωτές</w:t>
      </w:r>
      <w:r w:rsidR="00144A82">
        <w:rPr>
          <w:rFonts w:cstheme="minorHAnsi"/>
          <w:color w:val="243587"/>
          <w:sz w:val="22"/>
          <w:szCs w:val="22"/>
          <w:lang w:val="el-GR"/>
        </w:rPr>
        <w:t xml:space="preserve"> πτήσεων</w:t>
      </w:r>
      <w:r w:rsidRPr="00902456">
        <w:rPr>
          <w:rFonts w:cstheme="minorHAnsi"/>
          <w:color w:val="243587"/>
          <w:sz w:val="22"/>
          <w:szCs w:val="22"/>
          <w:lang w:val="el-GR"/>
        </w:rPr>
        <w:t xml:space="preserve"> είναι σε λειτουργία</w:t>
      </w:r>
      <w:r w:rsidR="00DA201A">
        <w:rPr>
          <w:rFonts w:cstheme="minorHAnsi"/>
          <w:color w:val="243587"/>
          <w:sz w:val="22"/>
          <w:szCs w:val="22"/>
          <w:lang w:val="el-GR"/>
        </w:rPr>
        <w:t>,</w:t>
      </w:r>
      <w:r w:rsidRPr="00902456">
        <w:rPr>
          <w:rFonts w:cstheme="minorHAnsi"/>
          <w:color w:val="243587"/>
          <w:sz w:val="22"/>
          <w:szCs w:val="22"/>
          <w:lang w:val="el-GR"/>
        </w:rPr>
        <w:t xml:space="preserve"> καλύπτοντας τις ανάγκες πληρωμάτων τόσο της AEGEAN όσο και τρίτων αεροπορικών εταιρειών</w:t>
      </w:r>
      <w:r w:rsidR="00144A82">
        <w:rPr>
          <w:rFonts w:cstheme="minorHAnsi"/>
          <w:color w:val="243587"/>
          <w:sz w:val="22"/>
          <w:szCs w:val="22"/>
          <w:lang w:val="el-GR"/>
        </w:rPr>
        <w:t>.</w:t>
      </w:r>
      <w:r w:rsidR="00B663E3" w:rsidRPr="00B663E3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144A82" w:rsidRPr="0007019D">
        <w:rPr>
          <w:rFonts w:cstheme="minorHAnsi"/>
          <w:color w:val="243587"/>
          <w:sz w:val="22"/>
          <w:szCs w:val="22"/>
          <w:lang w:val="el-GR"/>
        </w:rPr>
        <w:t>Ο</w:t>
      </w:r>
      <w:r w:rsidR="00144A82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07019D" w:rsidRPr="00B663E3">
        <w:rPr>
          <w:rFonts w:cstheme="minorHAnsi"/>
          <w:color w:val="243587"/>
          <w:sz w:val="22"/>
          <w:szCs w:val="22"/>
          <w:lang w:val="el-GR"/>
        </w:rPr>
        <w:t>Όμιλος</w:t>
      </w:r>
      <w:r w:rsidR="00144A82">
        <w:rPr>
          <w:rFonts w:cstheme="minorHAnsi"/>
          <w:color w:val="243587"/>
          <w:sz w:val="22"/>
          <w:szCs w:val="22"/>
          <w:lang w:val="el-GR"/>
        </w:rPr>
        <w:t>, παράλληλα</w:t>
      </w:r>
      <w:r w:rsidR="00B663E3" w:rsidRPr="00B663E3">
        <w:rPr>
          <w:rFonts w:cstheme="minorHAnsi"/>
          <w:color w:val="243587"/>
          <w:sz w:val="22"/>
          <w:szCs w:val="22"/>
          <w:lang w:val="el-GR"/>
        </w:rPr>
        <w:t xml:space="preserve"> έχει </w:t>
      </w:r>
      <w:r w:rsidR="0007019D" w:rsidRPr="00B663E3">
        <w:rPr>
          <w:rFonts w:cstheme="minorHAnsi"/>
          <w:color w:val="243587"/>
          <w:sz w:val="22"/>
          <w:szCs w:val="22"/>
          <w:lang w:val="el-GR"/>
        </w:rPr>
        <w:t>ξεκ</w:t>
      </w:r>
      <w:r w:rsidR="00B663E3" w:rsidRPr="00B663E3">
        <w:rPr>
          <w:rFonts w:cstheme="minorHAnsi"/>
          <w:color w:val="243587"/>
          <w:sz w:val="22"/>
          <w:szCs w:val="22"/>
          <w:lang w:val="el-GR"/>
        </w:rPr>
        <w:t xml:space="preserve">ινήσει </w:t>
      </w:r>
      <w:r w:rsidR="00B663E3">
        <w:rPr>
          <w:rFonts w:cstheme="minorHAnsi"/>
          <w:color w:val="243587"/>
          <w:sz w:val="22"/>
          <w:szCs w:val="22"/>
          <w:lang w:val="el-GR"/>
        </w:rPr>
        <w:t xml:space="preserve">να παρέχει </w:t>
      </w:r>
      <w:r w:rsidR="00EE7E2C">
        <w:rPr>
          <w:rFonts w:cstheme="minorHAnsi"/>
          <w:color w:val="243587"/>
          <w:sz w:val="22"/>
          <w:szCs w:val="22"/>
          <w:lang w:val="el-GR"/>
        </w:rPr>
        <w:t xml:space="preserve">και </w:t>
      </w:r>
      <w:r w:rsidR="00B663E3" w:rsidRPr="0007019D">
        <w:rPr>
          <w:rFonts w:cstheme="minorHAnsi"/>
          <w:color w:val="243587"/>
          <w:sz w:val="22"/>
          <w:szCs w:val="22"/>
          <w:lang w:val="el-GR"/>
        </w:rPr>
        <w:t>υπηρεσίες βαριάς συντήρησης</w:t>
      </w:r>
      <w:r w:rsidR="00B663E3" w:rsidRPr="00B663E3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B663E3">
        <w:rPr>
          <w:rFonts w:cstheme="minorHAnsi"/>
          <w:color w:val="243587"/>
          <w:sz w:val="22"/>
          <w:szCs w:val="22"/>
          <w:lang w:val="el-GR"/>
        </w:rPr>
        <w:t>σ</w:t>
      </w:r>
      <w:r w:rsidR="00B663E3" w:rsidRPr="0007019D">
        <w:rPr>
          <w:rFonts w:cstheme="minorHAnsi"/>
          <w:color w:val="243587"/>
          <w:sz w:val="22"/>
          <w:szCs w:val="22"/>
          <w:lang w:val="el-GR"/>
        </w:rPr>
        <w:t xml:space="preserve">τους πρώτους </w:t>
      </w:r>
      <w:r w:rsidR="00EE7E2C">
        <w:rPr>
          <w:rFonts w:cstheme="minorHAnsi"/>
          <w:color w:val="243587"/>
          <w:sz w:val="22"/>
          <w:szCs w:val="22"/>
          <w:lang w:val="el-GR"/>
        </w:rPr>
        <w:t xml:space="preserve">εξωτερικούς </w:t>
      </w:r>
      <w:r w:rsidR="00B663E3" w:rsidRPr="0007019D">
        <w:rPr>
          <w:rFonts w:cstheme="minorHAnsi"/>
          <w:color w:val="243587"/>
          <w:sz w:val="22"/>
          <w:szCs w:val="22"/>
          <w:lang w:val="el-GR"/>
        </w:rPr>
        <w:t>πελάτες</w:t>
      </w:r>
      <w:r w:rsidR="0007019D">
        <w:rPr>
          <w:rFonts w:cstheme="minorHAnsi"/>
          <w:color w:val="243587"/>
          <w:sz w:val="22"/>
          <w:szCs w:val="22"/>
          <w:lang w:val="el-GR"/>
        </w:rPr>
        <w:t>».</w:t>
      </w:r>
    </w:p>
    <w:p w14:paraId="426A2622" w14:textId="0CCD5421" w:rsidR="00F56B65" w:rsidRPr="00A454A8" w:rsidRDefault="00F56B65" w:rsidP="00A454A8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3C213D78" w14:textId="6240095F" w:rsidR="00E05188" w:rsidRDefault="00E05188" w:rsidP="00E90A54">
      <w:pPr>
        <w:spacing w:after="240" w:line="276" w:lineRule="auto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DB4671D" w14:textId="1CE4A911" w:rsidR="00E05188" w:rsidRDefault="00E05188" w:rsidP="00E90A54">
      <w:pPr>
        <w:spacing w:after="240" w:line="276" w:lineRule="auto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B36A960" w14:textId="4B0C8431" w:rsidR="00E05188" w:rsidRDefault="00E05188" w:rsidP="00E90A54">
      <w:pPr>
        <w:spacing w:after="240" w:line="276" w:lineRule="auto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A382E1B" w14:textId="184DA7A4" w:rsidR="00E05188" w:rsidRDefault="00E05188" w:rsidP="00E90A54">
      <w:pPr>
        <w:spacing w:after="240" w:line="276" w:lineRule="auto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624EC48" w14:textId="77777777" w:rsidR="00E05188" w:rsidRDefault="00E05188" w:rsidP="00E90A54">
      <w:pPr>
        <w:spacing w:after="240" w:line="276" w:lineRule="auto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E81B851" w14:textId="6A7FC309" w:rsidR="00E90A54" w:rsidRPr="0074469D" w:rsidRDefault="00E90A54" w:rsidP="00E90A54">
      <w:pPr>
        <w:spacing w:after="240" w:line="276" w:lineRule="auto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Αποτελέσματα Ομίλου </w:t>
      </w:r>
      <w:r w:rsidR="00D5501A" w:rsidRPr="00D5501A">
        <w:rPr>
          <w:rFonts w:cstheme="minorHAnsi"/>
          <w:b/>
          <w:bCs/>
          <w:color w:val="002677"/>
          <w:sz w:val="22"/>
          <w:szCs w:val="22"/>
          <w:lang w:val="el-GR"/>
        </w:rPr>
        <w:t>Πρώτου Τριμήνου 202</w:t>
      </w:r>
      <w:r w:rsidR="00D5501A">
        <w:rPr>
          <w:rFonts w:cstheme="minorHAnsi"/>
          <w:b/>
          <w:bCs/>
          <w:color w:val="002677"/>
          <w:sz w:val="22"/>
          <w:szCs w:val="22"/>
          <w:lang w:val="el-GR"/>
        </w:rPr>
        <w:t>4</w:t>
      </w:r>
    </w:p>
    <w:tbl>
      <w:tblPr>
        <w:tblW w:w="10065" w:type="dxa"/>
        <w:tblInd w:w="-3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843"/>
        <w:gridCol w:w="851"/>
      </w:tblGrid>
      <w:tr w:rsidR="00DF216D" w:rsidRPr="0074469D" w14:paraId="2434A88F" w14:textId="77777777" w:rsidTr="00B336B5">
        <w:trPr>
          <w:trHeight w:val="310"/>
        </w:trPr>
        <w:tc>
          <w:tcPr>
            <w:tcW w:w="5670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</w:tcBorders>
            <w:shd w:val="clear" w:color="auto" w:fill="002677"/>
            <w:vAlign w:val="center"/>
          </w:tcPr>
          <w:p w14:paraId="35E0EC1D" w14:textId="77777777" w:rsidR="00DF216D" w:rsidRPr="0074469D" w:rsidRDefault="00DF216D" w:rsidP="00D5501A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σε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εκατ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002677"/>
            <w:vAlign w:val="center"/>
          </w:tcPr>
          <w:p w14:paraId="228AA71E" w14:textId="77777777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222791AF" w14:textId="1A0DB737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002677"/>
            <w:vAlign w:val="center"/>
            <w:hideMark/>
          </w:tcPr>
          <w:p w14:paraId="4880944C" w14:textId="77777777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280B016E" w14:textId="07C6148F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24</w:t>
            </w:r>
          </w:p>
        </w:tc>
        <w:tc>
          <w:tcPr>
            <w:tcW w:w="851" w:type="dxa"/>
            <w:tcBorders>
              <w:top w:val="single" w:sz="2" w:space="0" w:color="002677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</w:tcPr>
          <w:p w14:paraId="7F5F81DF" w14:textId="36FD8CEF" w:rsidR="00DF216D" w:rsidRPr="00DF216D" w:rsidRDefault="00DF216D" w:rsidP="00DF216D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μτβ</w:t>
            </w:r>
          </w:p>
        </w:tc>
      </w:tr>
      <w:tr w:rsidR="00D066DB" w:rsidRPr="0074469D" w14:paraId="30953E5A" w14:textId="77777777" w:rsidTr="00B336B5">
        <w:trPr>
          <w:trHeight w:val="379"/>
        </w:trPr>
        <w:tc>
          <w:tcPr>
            <w:tcW w:w="5670" w:type="dxa"/>
            <w:tcBorders>
              <w:top w:val="single" w:sz="2" w:space="0" w:color="002677"/>
              <w:bottom w:val="single" w:sz="2" w:space="0" w:color="002677"/>
            </w:tcBorders>
            <w:vAlign w:val="center"/>
            <w:hideMark/>
          </w:tcPr>
          <w:p w14:paraId="13333232" w14:textId="77777777" w:rsidR="00D066DB" w:rsidRPr="0074469D" w:rsidRDefault="00D066DB" w:rsidP="00D066DB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Έσοδα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79D72458" w14:textId="4BE080D5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229,1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center"/>
          </w:tcPr>
          <w:p w14:paraId="1E16F1AA" w14:textId="7EBB53FA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066669DD" w14:textId="73918D89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17%</w:t>
            </w:r>
          </w:p>
        </w:tc>
      </w:tr>
      <w:tr w:rsidR="00B6428E" w:rsidRPr="0074469D" w14:paraId="33C01FEB" w14:textId="77777777" w:rsidTr="00305D15">
        <w:trPr>
          <w:trHeight w:val="270"/>
        </w:trPr>
        <w:tc>
          <w:tcPr>
            <w:tcW w:w="5670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6885D052" w14:textId="77777777" w:rsidR="00B6428E" w:rsidRPr="0074469D" w:rsidRDefault="00B6428E" w:rsidP="00B6428E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n-US"/>
              </w:rPr>
              <w:t>EBITDA</w:t>
            </w:r>
            <w:r w:rsidRPr="0074469D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vAlign w:val="bottom"/>
          </w:tcPr>
          <w:p w14:paraId="2EDAA453" w14:textId="4BCA14B2" w:rsidR="00B6428E" w:rsidRPr="0074469D" w:rsidRDefault="00B6428E" w:rsidP="00B6428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B6428E">
              <w:rPr>
                <w:rFonts w:cstheme="minorHAnsi"/>
                <w:color w:val="002677"/>
                <w:sz w:val="22"/>
                <w:szCs w:val="22"/>
              </w:rPr>
              <w:t>19,3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bottom"/>
          </w:tcPr>
          <w:p w14:paraId="3B216D43" w14:textId="76CD3183" w:rsidR="00B6428E" w:rsidRPr="0074469D" w:rsidRDefault="00B6428E" w:rsidP="00B6428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B6428E">
              <w:rPr>
                <w:rFonts w:cstheme="minorHAnsi"/>
                <w:color w:val="002677"/>
                <w:sz w:val="22"/>
                <w:szCs w:val="22"/>
              </w:rPr>
              <w:t>33,2</w:t>
            </w:r>
          </w:p>
        </w:tc>
        <w:tc>
          <w:tcPr>
            <w:tcW w:w="851" w:type="dxa"/>
            <w:tcBorders>
              <w:top w:val="single" w:sz="2" w:space="0" w:color="002677"/>
              <w:bottom w:val="single" w:sz="2" w:space="0" w:color="002677"/>
            </w:tcBorders>
            <w:vAlign w:val="bottom"/>
          </w:tcPr>
          <w:p w14:paraId="46951824" w14:textId="2070BC4A" w:rsidR="00B6428E" w:rsidRPr="0074469D" w:rsidRDefault="00B6428E" w:rsidP="00B6428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B6428E">
              <w:rPr>
                <w:rFonts w:cstheme="minorHAnsi"/>
                <w:color w:val="002677"/>
                <w:sz w:val="22"/>
                <w:szCs w:val="22"/>
              </w:rPr>
              <w:t>72%</w:t>
            </w:r>
          </w:p>
        </w:tc>
      </w:tr>
      <w:tr w:rsidR="00B6428E" w:rsidRPr="00D5501A" w14:paraId="67CC070B" w14:textId="77777777" w:rsidTr="00130B41">
        <w:trPr>
          <w:trHeight w:val="261"/>
        </w:trPr>
        <w:tc>
          <w:tcPr>
            <w:tcW w:w="5670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6C954359" w14:textId="7157944E" w:rsidR="00B6428E" w:rsidRPr="004062A2" w:rsidRDefault="00B6428E" w:rsidP="00B6428E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Κέρδη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/(Ζημίες)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προ φόρων και τόκων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(</w:t>
            </w:r>
            <w:r w:rsidR="004062A2">
              <w:rPr>
                <w:rFonts w:cstheme="minorHAnsi"/>
                <w:color w:val="002677"/>
                <w:sz w:val="22"/>
                <w:szCs w:val="22"/>
                <w:lang w:val="en-US"/>
              </w:rPr>
              <w:t>EBIT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vAlign w:val="bottom"/>
          </w:tcPr>
          <w:p w14:paraId="459543D5" w14:textId="10008F2B" w:rsidR="00B6428E" w:rsidRPr="00D066DB" w:rsidRDefault="00B6428E" w:rsidP="00B6428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B6428E">
              <w:rPr>
                <w:rFonts w:cstheme="minorHAnsi"/>
                <w:color w:val="002677"/>
                <w:sz w:val="22"/>
                <w:szCs w:val="22"/>
              </w:rPr>
              <w:t>(14,7)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bottom"/>
          </w:tcPr>
          <w:p w14:paraId="4CA677F3" w14:textId="749A3C56" w:rsidR="00B6428E" w:rsidRPr="00D066DB" w:rsidRDefault="00B6428E" w:rsidP="00B6428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B6428E">
              <w:rPr>
                <w:rFonts w:cstheme="minorHAnsi"/>
                <w:color w:val="002677"/>
                <w:sz w:val="22"/>
                <w:szCs w:val="22"/>
              </w:rPr>
              <w:t>(7,2)</w:t>
            </w:r>
          </w:p>
        </w:tc>
        <w:tc>
          <w:tcPr>
            <w:tcW w:w="851" w:type="dxa"/>
            <w:tcBorders>
              <w:top w:val="single" w:sz="2" w:space="0" w:color="002677"/>
              <w:bottom w:val="single" w:sz="2" w:space="0" w:color="002677"/>
            </w:tcBorders>
            <w:vAlign w:val="bottom"/>
          </w:tcPr>
          <w:p w14:paraId="27C8E8A7" w14:textId="6AD44002" w:rsidR="00B6428E" w:rsidRPr="00D066DB" w:rsidRDefault="0049636B" w:rsidP="00B6428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-</w:t>
            </w:r>
          </w:p>
        </w:tc>
      </w:tr>
      <w:tr w:rsidR="00D066DB" w:rsidRPr="0074469D" w14:paraId="454DCAF3" w14:textId="77777777" w:rsidTr="00B336B5">
        <w:trPr>
          <w:trHeight w:val="367"/>
        </w:trPr>
        <w:tc>
          <w:tcPr>
            <w:tcW w:w="5670" w:type="dxa"/>
            <w:tcBorders>
              <w:top w:val="single" w:sz="2" w:space="0" w:color="002677"/>
              <w:bottom w:val="single" w:sz="2" w:space="0" w:color="002677"/>
            </w:tcBorders>
            <w:vAlign w:val="center"/>
            <w:hideMark/>
          </w:tcPr>
          <w:p w14:paraId="19371208" w14:textId="66F13022" w:rsidR="00D066DB" w:rsidRPr="004062A2" w:rsidRDefault="00D066DB" w:rsidP="00D066D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Κέρδη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/(Ζημίες)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προ φόρων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(</w:t>
            </w:r>
            <w:r w:rsidR="004062A2">
              <w:rPr>
                <w:rFonts w:cstheme="minorHAnsi"/>
                <w:color w:val="002677"/>
                <w:sz w:val="22"/>
                <w:szCs w:val="22"/>
                <w:lang w:val="en-US"/>
              </w:rPr>
              <w:t>EBT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71B53CB6" w14:textId="6271DB76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(18,6)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center"/>
          </w:tcPr>
          <w:p w14:paraId="631DC266" w14:textId="44FD22F2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(26,3)</w:t>
            </w:r>
          </w:p>
        </w:tc>
        <w:tc>
          <w:tcPr>
            <w:tcW w:w="851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2DB3E4B4" w14:textId="0571C947" w:rsidR="00D066DB" w:rsidRPr="0074469D" w:rsidRDefault="00BC1A36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-</w:t>
            </w:r>
          </w:p>
        </w:tc>
      </w:tr>
      <w:tr w:rsidR="00D066DB" w:rsidRPr="00D5501A" w14:paraId="346A6F43" w14:textId="77777777" w:rsidTr="00B336B5">
        <w:trPr>
          <w:trHeight w:val="345"/>
        </w:trPr>
        <w:tc>
          <w:tcPr>
            <w:tcW w:w="5670" w:type="dxa"/>
            <w:tcBorders>
              <w:top w:val="single" w:sz="2" w:space="0" w:color="002677"/>
              <w:bottom w:val="single" w:sz="2" w:space="0" w:color="002677"/>
            </w:tcBorders>
            <w:vAlign w:val="center"/>
            <w:hideMark/>
          </w:tcPr>
          <w:p w14:paraId="546F9482" w14:textId="77777777" w:rsidR="00D066DB" w:rsidRPr="0074469D" w:rsidRDefault="00D066DB" w:rsidP="00D066D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Κέρδη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/(Ζημίες)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μετά από φόρους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49526128" w14:textId="6FE6E73B" w:rsidR="00D066DB" w:rsidRPr="00D066DB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(14,4)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center"/>
          </w:tcPr>
          <w:p w14:paraId="5AE0EC1F" w14:textId="0841A664" w:rsidR="00D066DB" w:rsidRPr="00D066DB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(21,0)</w:t>
            </w:r>
          </w:p>
        </w:tc>
        <w:tc>
          <w:tcPr>
            <w:tcW w:w="851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086B4B7B" w14:textId="2A487CF2" w:rsidR="00D066DB" w:rsidRPr="00D066DB" w:rsidRDefault="00BC1A36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-</w:t>
            </w:r>
          </w:p>
        </w:tc>
      </w:tr>
    </w:tbl>
    <w:p w14:paraId="723B2604" w14:textId="77777777" w:rsidR="00E90A54" w:rsidRPr="0074469D" w:rsidRDefault="00E90A54" w:rsidP="00E90A54">
      <w:pPr>
        <w:pStyle w:val="FootnoteText"/>
        <w:jc w:val="both"/>
        <w:rPr>
          <w:rFonts w:asciiTheme="minorHAnsi" w:eastAsiaTheme="minorHAnsi" w:hAnsiTheme="minorHAnsi" w:cstheme="minorHAnsi"/>
          <w:color w:val="002677"/>
          <w:sz w:val="22"/>
          <w:szCs w:val="22"/>
          <w:lang w:eastAsia="en-US"/>
        </w:rPr>
      </w:pPr>
    </w:p>
    <w:p w14:paraId="622E6EFF" w14:textId="77777777" w:rsidR="00E90A54" w:rsidRPr="00D23174" w:rsidRDefault="00E90A54" w:rsidP="00E90A54">
      <w:pPr>
        <w:jc w:val="both"/>
        <w:rPr>
          <w:rFonts w:cstheme="minorHAnsi"/>
          <w:color w:val="243587"/>
          <w:sz w:val="18"/>
          <w:szCs w:val="18"/>
        </w:rPr>
      </w:pPr>
      <w:r w:rsidRPr="00D23174">
        <w:rPr>
          <w:rFonts w:cstheme="minorHAnsi"/>
          <w:color w:val="243587"/>
          <w:sz w:val="18"/>
          <w:szCs w:val="18"/>
        </w:rPr>
        <w:t>Σημείωση:</w:t>
      </w:r>
    </w:p>
    <w:p w14:paraId="2A651D1B" w14:textId="77777777" w:rsidR="00E90A54" w:rsidRPr="00D23174" w:rsidRDefault="00E90A54" w:rsidP="00E90A54">
      <w:pPr>
        <w:pStyle w:val="ListParagraph"/>
        <w:numPr>
          <w:ilvl w:val="0"/>
          <w:numId w:val="2"/>
        </w:numPr>
        <w:ind w:left="142" w:hanging="142"/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lang w:val="el-GR"/>
        </w:rPr>
        <w:t>Κέρδη προ φόρων, χρηματοδοτικών και επενδυτικών αποτελεσμάτων και αποσβέσεων.</w:t>
      </w:r>
    </w:p>
    <w:p w14:paraId="041A60F1" w14:textId="77777777" w:rsidR="00E90A54" w:rsidRPr="0074469D" w:rsidRDefault="00E90A54" w:rsidP="00E90A54">
      <w:pPr>
        <w:pStyle w:val="FootnoteText"/>
        <w:jc w:val="both"/>
        <w:rPr>
          <w:rFonts w:asciiTheme="minorHAnsi" w:eastAsiaTheme="minorHAnsi" w:hAnsiTheme="minorHAnsi" w:cstheme="minorHAnsi"/>
          <w:color w:val="002677"/>
          <w:sz w:val="22"/>
          <w:szCs w:val="22"/>
          <w:lang w:eastAsia="en-US"/>
        </w:rPr>
      </w:pPr>
    </w:p>
    <w:p w14:paraId="03059FA6" w14:textId="77777777" w:rsidR="00E90A54" w:rsidRPr="0074469D" w:rsidRDefault="00E90A54" w:rsidP="00E90A54">
      <w:pPr>
        <w:pStyle w:val="FootnoteText"/>
        <w:jc w:val="both"/>
        <w:rPr>
          <w:rFonts w:asciiTheme="minorHAnsi" w:eastAsiaTheme="minorHAnsi" w:hAnsiTheme="minorHAnsi" w:cstheme="minorHAnsi"/>
          <w:color w:val="002677"/>
          <w:sz w:val="22"/>
          <w:szCs w:val="22"/>
          <w:lang w:eastAsia="en-US"/>
        </w:rPr>
      </w:pPr>
    </w:p>
    <w:tbl>
      <w:tblPr>
        <w:tblW w:w="10065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1701"/>
        <w:gridCol w:w="1843"/>
        <w:gridCol w:w="854"/>
      </w:tblGrid>
      <w:tr w:rsidR="00DF216D" w:rsidRPr="0074469D" w14:paraId="41452F06" w14:textId="77777777" w:rsidTr="00B336B5">
        <w:trPr>
          <w:trHeight w:val="119"/>
        </w:trPr>
        <w:tc>
          <w:tcPr>
            <w:tcW w:w="5667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</w:tcBorders>
            <w:shd w:val="clear" w:color="auto" w:fill="002677"/>
            <w:vAlign w:val="center"/>
          </w:tcPr>
          <w:p w14:paraId="09CA4939" w14:textId="77777777" w:rsidR="00DF216D" w:rsidRPr="0074469D" w:rsidRDefault="00DF216D" w:rsidP="00D5501A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002677"/>
            <w:vAlign w:val="center"/>
          </w:tcPr>
          <w:p w14:paraId="654B49B6" w14:textId="77777777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52E7DC89" w14:textId="1457C27B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002677"/>
            <w:vAlign w:val="center"/>
            <w:hideMark/>
          </w:tcPr>
          <w:p w14:paraId="1797EB29" w14:textId="77777777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055FE560" w14:textId="3A254C47" w:rsidR="00DF216D" w:rsidRPr="0074469D" w:rsidRDefault="00DF216D" w:rsidP="00D5501A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24</w:t>
            </w:r>
          </w:p>
        </w:tc>
        <w:tc>
          <w:tcPr>
            <w:tcW w:w="854" w:type="dxa"/>
            <w:tcBorders>
              <w:top w:val="single" w:sz="2" w:space="0" w:color="002677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</w:tcPr>
          <w:p w14:paraId="7CA54F86" w14:textId="198EDDF6" w:rsidR="00DF216D" w:rsidRPr="00DF216D" w:rsidRDefault="00DF216D" w:rsidP="00DF216D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μτβ</w:t>
            </w:r>
          </w:p>
        </w:tc>
      </w:tr>
      <w:tr w:rsidR="00D066DB" w:rsidRPr="0074469D" w14:paraId="6F8F990C" w14:textId="77777777" w:rsidTr="00B336B5">
        <w:trPr>
          <w:trHeight w:val="332"/>
        </w:trPr>
        <w:tc>
          <w:tcPr>
            <w:tcW w:w="5667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1629DD83" w14:textId="77777777" w:rsidR="00D066DB" w:rsidRPr="0074469D" w:rsidRDefault="00D066DB" w:rsidP="00D066D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Σύνολο Επιβατών (‘000)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auto"/>
            <w:vAlign w:val="center"/>
          </w:tcPr>
          <w:p w14:paraId="53339614" w14:textId="6E3EA84F" w:rsidR="00D066DB" w:rsidRPr="00342110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2.581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center"/>
          </w:tcPr>
          <w:p w14:paraId="75B2D57D" w14:textId="24D08FA5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2.85</w:t>
            </w:r>
            <w:r w:rsidR="006449F7">
              <w:rPr>
                <w:rFonts w:cstheme="minorHAnsi"/>
                <w:color w:val="002677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07766071" w14:textId="4B476045" w:rsidR="00D066DB" w:rsidRPr="0074469D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11%</w:t>
            </w:r>
          </w:p>
        </w:tc>
      </w:tr>
      <w:tr w:rsidR="006449F7" w:rsidRPr="003375FE" w14:paraId="2F673CB3" w14:textId="77777777" w:rsidTr="00B336B5">
        <w:trPr>
          <w:trHeight w:val="173"/>
        </w:trPr>
        <w:tc>
          <w:tcPr>
            <w:tcW w:w="5667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640028BF" w14:textId="74748080" w:rsidR="006449F7" w:rsidRPr="0074469D" w:rsidRDefault="006449F7" w:rsidP="006449F7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Χιλιομετρικοί επιβάτες</w:t>
            </w:r>
            <w:r w:rsidRPr="003375FE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(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RPKs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σε εκατ.)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auto"/>
            <w:vAlign w:val="bottom"/>
          </w:tcPr>
          <w:p w14:paraId="1CBA9ED2" w14:textId="7B0080AB" w:rsidR="006449F7" w:rsidRPr="00D066DB" w:rsidRDefault="006449F7" w:rsidP="006449F7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6449F7">
              <w:rPr>
                <w:rFonts w:cstheme="minorHAnsi"/>
                <w:color w:val="002677"/>
                <w:sz w:val="22"/>
                <w:szCs w:val="22"/>
              </w:rPr>
              <w:t>2.715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bottom"/>
          </w:tcPr>
          <w:p w14:paraId="1FEE2441" w14:textId="25B7829F" w:rsidR="006449F7" w:rsidRPr="00D066DB" w:rsidRDefault="006449F7" w:rsidP="006449F7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6449F7">
              <w:rPr>
                <w:rFonts w:cstheme="minorHAnsi"/>
                <w:color w:val="002677"/>
                <w:sz w:val="22"/>
                <w:szCs w:val="22"/>
              </w:rPr>
              <w:t>3.056</w:t>
            </w:r>
          </w:p>
        </w:tc>
        <w:tc>
          <w:tcPr>
            <w:tcW w:w="854" w:type="dxa"/>
            <w:tcBorders>
              <w:top w:val="single" w:sz="2" w:space="0" w:color="002677"/>
              <w:bottom w:val="single" w:sz="2" w:space="0" w:color="002677"/>
            </w:tcBorders>
            <w:vAlign w:val="bottom"/>
          </w:tcPr>
          <w:p w14:paraId="08DE6EC0" w14:textId="7E8FF7FC" w:rsidR="006449F7" w:rsidRPr="00D066DB" w:rsidRDefault="006449F7" w:rsidP="006449F7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6449F7">
              <w:rPr>
                <w:rFonts w:cstheme="minorHAnsi"/>
                <w:color w:val="002677"/>
                <w:sz w:val="22"/>
                <w:szCs w:val="22"/>
              </w:rPr>
              <w:t>13%</w:t>
            </w:r>
          </w:p>
        </w:tc>
      </w:tr>
      <w:tr w:rsidR="006449F7" w:rsidRPr="003375FE" w14:paraId="2747AE46" w14:textId="77777777" w:rsidTr="00B336B5">
        <w:trPr>
          <w:trHeight w:val="173"/>
        </w:trPr>
        <w:tc>
          <w:tcPr>
            <w:tcW w:w="5667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0D7CE537" w14:textId="3472AE07" w:rsidR="006449F7" w:rsidRPr="0074469D" w:rsidRDefault="006449F7" w:rsidP="006449F7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Χιλιομετρικές Θέσεις (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ASK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n-US"/>
              </w:rPr>
              <w:t>s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σε εκατ.)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auto"/>
            <w:vAlign w:val="bottom"/>
          </w:tcPr>
          <w:p w14:paraId="41398D10" w14:textId="10280C78" w:rsidR="006449F7" w:rsidRPr="00D066DB" w:rsidRDefault="006449F7" w:rsidP="006449F7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6449F7">
              <w:rPr>
                <w:rFonts w:cstheme="minorHAnsi"/>
                <w:color w:val="002677"/>
                <w:sz w:val="22"/>
                <w:szCs w:val="22"/>
              </w:rPr>
              <w:t>3.340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bottom"/>
          </w:tcPr>
          <w:p w14:paraId="34A3940C" w14:textId="36E42A11" w:rsidR="006449F7" w:rsidRPr="00D066DB" w:rsidRDefault="006449F7" w:rsidP="006449F7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6449F7">
              <w:rPr>
                <w:rFonts w:cstheme="minorHAnsi"/>
                <w:color w:val="002677"/>
                <w:sz w:val="22"/>
                <w:szCs w:val="22"/>
              </w:rPr>
              <w:t>3.751</w:t>
            </w:r>
          </w:p>
        </w:tc>
        <w:tc>
          <w:tcPr>
            <w:tcW w:w="854" w:type="dxa"/>
            <w:tcBorders>
              <w:top w:val="single" w:sz="2" w:space="0" w:color="002677"/>
              <w:bottom w:val="single" w:sz="2" w:space="0" w:color="002677"/>
            </w:tcBorders>
            <w:vAlign w:val="bottom"/>
          </w:tcPr>
          <w:p w14:paraId="200EA017" w14:textId="191EC814" w:rsidR="006449F7" w:rsidRPr="00D066DB" w:rsidRDefault="006449F7" w:rsidP="006449F7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6449F7">
              <w:rPr>
                <w:rFonts w:cstheme="minorHAnsi"/>
                <w:color w:val="002677"/>
                <w:sz w:val="22"/>
                <w:szCs w:val="22"/>
              </w:rPr>
              <w:t>12%</w:t>
            </w:r>
          </w:p>
        </w:tc>
      </w:tr>
      <w:tr w:rsidR="00D066DB" w:rsidRPr="003375FE" w14:paraId="3319FCDB" w14:textId="77777777" w:rsidTr="00B336B5">
        <w:trPr>
          <w:trHeight w:val="173"/>
        </w:trPr>
        <w:tc>
          <w:tcPr>
            <w:tcW w:w="5667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7D000FD5" w14:textId="2AB2A2EE" w:rsidR="00D066DB" w:rsidRPr="0074469D" w:rsidRDefault="00D066DB" w:rsidP="00D066D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Συντελεστής Πληρότητας 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–</w:t>
            </w:r>
            <w:r w:rsidRPr="003375FE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Τακτικές πτήσεις (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RPK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/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ASK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auto"/>
            <w:vAlign w:val="center"/>
          </w:tcPr>
          <w:p w14:paraId="1974EECA" w14:textId="63A1F7E5" w:rsidR="00D066DB" w:rsidRPr="00D066DB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81,6%</w:t>
            </w:r>
          </w:p>
        </w:tc>
        <w:tc>
          <w:tcPr>
            <w:tcW w:w="1843" w:type="dxa"/>
            <w:tcBorders>
              <w:top w:val="single" w:sz="2" w:space="0" w:color="002677"/>
              <w:bottom w:val="single" w:sz="2" w:space="0" w:color="002677"/>
            </w:tcBorders>
            <w:shd w:val="clear" w:color="auto" w:fill="EFF2F9"/>
            <w:vAlign w:val="center"/>
          </w:tcPr>
          <w:p w14:paraId="04B7BFDA" w14:textId="57AFF3BE" w:rsidR="00D066DB" w:rsidRPr="00D066DB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81,7%</w:t>
            </w:r>
          </w:p>
        </w:tc>
        <w:tc>
          <w:tcPr>
            <w:tcW w:w="854" w:type="dxa"/>
            <w:tcBorders>
              <w:top w:val="single" w:sz="2" w:space="0" w:color="002677"/>
              <w:bottom w:val="single" w:sz="2" w:space="0" w:color="002677"/>
            </w:tcBorders>
            <w:vAlign w:val="center"/>
          </w:tcPr>
          <w:p w14:paraId="11C9ED16" w14:textId="14269AEA" w:rsidR="00D066DB" w:rsidRPr="00D066DB" w:rsidRDefault="00D066DB" w:rsidP="00D066D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D066DB">
              <w:rPr>
                <w:rFonts w:cstheme="minorHAnsi"/>
                <w:color w:val="002677"/>
                <w:sz w:val="22"/>
                <w:szCs w:val="22"/>
              </w:rPr>
              <w:t>0,1pp</w:t>
            </w:r>
          </w:p>
        </w:tc>
      </w:tr>
    </w:tbl>
    <w:p w14:paraId="0706378D" w14:textId="77777777" w:rsidR="00E90A54" w:rsidRDefault="00E90A54" w:rsidP="00E90A54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9D8EF77" w14:textId="77777777" w:rsidR="00D5501A" w:rsidRPr="0074469D" w:rsidRDefault="00D5501A" w:rsidP="00E90A54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20432DBE" w14:textId="03132CBB" w:rsidR="00E90A54" w:rsidRDefault="00D5501A" w:rsidP="00E90A54">
      <w:pPr>
        <w:spacing w:after="120"/>
        <w:jc w:val="both"/>
        <w:rPr>
          <w:rFonts w:cstheme="minorHAnsi"/>
          <w:b/>
          <w:bCs/>
          <w:color w:val="243587"/>
          <w:sz w:val="22"/>
          <w:szCs w:val="22"/>
          <w:lang w:val="el-GR"/>
        </w:rPr>
      </w:pPr>
      <w:r w:rsidRPr="00D5501A">
        <w:rPr>
          <w:rFonts w:cstheme="minorHAnsi"/>
          <w:b/>
          <w:bCs/>
          <w:color w:val="243587"/>
          <w:sz w:val="22"/>
          <w:szCs w:val="22"/>
          <w:lang w:val="el-GR"/>
        </w:rPr>
        <w:t>Παρουσίαση των βασικών οικονομικών και οργανικών αποτελεσμάτων του πρώτου τριμήνου του 202</w:t>
      </w:r>
      <w:r>
        <w:rPr>
          <w:rFonts w:cstheme="minorHAnsi"/>
          <w:b/>
          <w:bCs/>
          <w:color w:val="243587"/>
          <w:sz w:val="22"/>
          <w:szCs w:val="22"/>
          <w:lang w:val="el-GR"/>
        </w:rPr>
        <w:t>3</w:t>
      </w:r>
      <w:r w:rsidRPr="00D5501A">
        <w:rPr>
          <w:rFonts w:cstheme="minorHAnsi"/>
          <w:b/>
          <w:bCs/>
          <w:color w:val="243587"/>
          <w:sz w:val="22"/>
          <w:szCs w:val="22"/>
          <w:lang w:val="el-GR"/>
        </w:rPr>
        <w:t xml:space="preserve"> και 202</w:t>
      </w:r>
      <w:r>
        <w:rPr>
          <w:rFonts w:cstheme="minorHAnsi"/>
          <w:b/>
          <w:bCs/>
          <w:color w:val="243587"/>
          <w:sz w:val="22"/>
          <w:szCs w:val="22"/>
          <w:lang w:val="el-GR"/>
        </w:rPr>
        <w:t>4</w:t>
      </w:r>
      <w:r w:rsidRPr="00D5501A">
        <w:rPr>
          <w:rFonts w:cstheme="minorHAnsi"/>
          <w:b/>
          <w:bCs/>
          <w:color w:val="243587"/>
          <w:sz w:val="22"/>
          <w:szCs w:val="22"/>
          <w:lang w:val="el-GR"/>
        </w:rPr>
        <w:t xml:space="preserve"> ως ποσοστό των αντίστοιχων αποτελεσμάτων της περιόδου του 2019.</w:t>
      </w:r>
    </w:p>
    <w:tbl>
      <w:tblPr>
        <w:tblW w:w="10065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1559"/>
        <w:gridCol w:w="1843"/>
        <w:gridCol w:w="1846"/>
      </w:tblGrid>
      <w:tr w:rsidR="00E90A54" w14:paraId="77AA8C9E" w14:textId="77777777" w:rsidTr="00B336B5">
        <w:trPr>
          <w:trHeight w:val="68"/>
        </w:trPr>
        <w:tc>
          <w:tcPr>
            <w:tcW w:w="4817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vAlign w:val="center"/>
            <w:hideMark/>
          </w:tcPr>
          <w:p w14:paraId="4C3EA0FF" w14:textId="77777777" w:rsidR="00E90A54" w:rsidRDefault="00E90A54" w:rsidP="00CF5BC4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  <w:hideMark/>
          </w:tcPr>
          <w:p w14:paraId="12BC3CDE" w14:textId="77777777" w:rsidR="003A6F76" w:rsidRPr="0074469D" w:rsidRDefault="003A6F76" w:rsidP="003A6F76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9B341B6" w14:textId="5A77BEA7" w:rsidR="00E90A54" w:rsidRPr="00961847" w:rsidRDefault="003A6F76" w:rsidP="003A6F76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Τρίμηνο</w:t>
            </w:r>
            <w:r w:rsidR="00E90A54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r w:rsidR="00E90A54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</w:t>
            </w:r>
            <w:r w:rsidR="00E90A54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  <w:hideMark/>
          </w:tcPr>
          <w:p w14:paraId="3ED9FABD" w14:textId="77777777" w:rsidR="003A6F76" w:rsidRPr="0074469D" w:rsidRDefault="003A6F76" w:rsidP="003A6F76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0CECAC40" w14:textId="615A316C" w:rsidR="00E90A54" w:rsidRDefault="003A6F76" w:rsidP="003A6F76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Τρίμηνο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r w:rsidR="00D5501A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2023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  <w:hideMark/>
          </w:tcPr>
          <w:p w14:paraId="5C26E2E2" w14:textId="77777777" w:rsidR="003A6F76" w:rsidRPr="0074469D" w:rsidRDefault="003A6F76" w:rsidP="003A6F76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6E98D183" w14:textId="1C946419" w:rsidR="00E90A54" w:rsidRDefault="003A6F76" w:rsidP="003A6F76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Τρίμηνο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r w:rsidR="00E90A54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202</w:t>
            </w:r>
            <w:r w:rsidR="00D5501A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</w:tr>
      <w:tr w:rsidR="0000193B" w14:paraId="5D11A597" w14:textId="77777777" w:rsidTr="00B336B5">
        <w:trPr>
          <w:trHeight w:val="98"/>
        </w:trPr>
        <w:tc>
          <w:tcPr>
            <w:tcW w:w="48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  <w:hideMark/>
          </w:tcPr>
          <w:p w14:paraId="64E17751" w14:textId="56ADBA1E" w:rsidR="0000193B" w:rsidRDefault="0000193B" w:rsidP="0000193B">
            <w:pPr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  <w:lang w:val="el-GR"/>
              </w:rPr>
              <w:t>Χιλιομετρικές Θέσεις (</w:t>
            </w:r>
            <w:r>
              <w:rPr>
                <w:rFonts w:cstheme="minorHAnsi"/>
                <w:color w:val="243587"/>
                <w:sz w:val="22"/>
                <w:szCs w:val="22"/>
              </w:rPr>
              <w:t>ASK</w:t>
            </w:r>
            <w:r w:rsidR="00B90A7E">
              <w:rPr>
                <w:rFonts w:cstheme="minorHAnsi"/>
                <w:color w:val="243587"/>
                <w:sz w:val="22"/>
                <w:szCs w:val="22"/>
              </w:rPr>
              <w:t>s</w:t>
            </w:r>
            <w:r>
              <w:rPr>
                <w:rFonts w:cstheme="minorHAnsi"/>
                <w:color w:val="243587"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38AB4A40" w14:textId="0CE29F3B" w:rsidR="0000193B" w:rsidRPr="00342110" w:rsidRDefault="0000193B" w:rsidP="0000193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1E4C3B57" w14:textId="1DBB7FF6" w:rsidR="0000193B" w:rsidRPr="00342110" w:rsidRDefault="0000193B" w:rsidP="0000193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00193B">
              <w:rPr>
                <w:rFonts w:cstheme="minorHAnsi"/>
                <w:color w:val="002677"/>
                <w:sz w:val="22"/>
                <w:szCs w:val="22"/>
              </w:rPr>
              <w:t>111%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6D8D3405" w14:textId="3D28C2AE" w:rsidR="0000193B" w:rsidRPr="00342110" w:rsidRDefault="0000193B" w:rsidP="0000193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00193B">
              <w:rPr>
                <w:rFonts w:cstheme="minorHAnsi"/>
                <w:color w:val="002677"/>
                <w:sz w:val="22"/>
                <w:szCs w:val="22"/>
              </w:rPr>
              <w:t>124%</w:t>
            </w:r>
          </w:p>
        </w:tc>
      </w:tr>
      <w:tr w:rsidR="0000193B" w14:paraId="2BF0D68B" w14:textId="77777777" w:rsidTr="00B336B5">
        <w:trPr>
          <w:trHeight w:val="164"/>
        </w:trPr>
        <w:tc>
          <w:tcPr>
            <w:tcW w:w="48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  <w:hideMark/>
          </w:tcPr>
          <w:p w14:paraId="090A82C7" w14:textId="77777777" w:rsidR="0000193B" w:rsidRDefault="0000193B" w:rsidP="0000193B">
            <w:pPr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243587"/>
                <w:sz w:val="22"/>
                <w:szCs w:val="22"/>
              </w:rPr>
              <w:t>Έσοδα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347B580" w14:textId="1F49700C" w:rsidR="0000193B" w:rsidRPr="00342110" w:rsidRDefault="0000193B" w:rsidP="0000193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210AEBF5" w14:textId="2BBB2B24" w:rsidR="0000193B" w:rsidRPr="00342110" w:rsidRDefault="0000193B" w:rsidP="0000193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00193B">
              <w:rPr>
                <w:rFonts w:cstheme="minorHAnsi"/>
                <w:color w:val="002677"/>
                <w:sz w:val="22"/>
                <w:szCs w:val="22"/>
              </w:rPr>
              <w:t>133%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3B0AE49B" w14:textId="4672DC92" w:rsidR="0000193B" w:rsidRPr="00342110" w:rsidRDefault="0000193B" w:rsidP="0000193B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00193B">
              <w:rPr>
                <w:rFonts w:cstheme="minorHAnsi"/>
                <w:color w:val="002677"/>
                <w:sz w:val="22"/>
                <w:szCs w:val="22"/>
              </w:rPr>
              <w:t>156%</w:t>
            </w:r>
          </w:p>
        </w:tc>
      </w:tr>
      <w:tr w:rsidR="003A6F76" w14:paraId="0101CDD1" w14:textId="77777777" w:rsidTr="00B336B5">
        <w:trPr>
          <w:trHeight w:val="98"/>
        </w:trPr>
        <w:tc>
          <w:tcPr>
            <w:tcW w:w="48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26E5D599" w14:textId="77777777" w:rsidR="003A6F76" w:rsidRPr="0074469D" w:rsidRDefault="003A6F76" w:rsidP="00CF5BC4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5A400F2C" w14:textId="77777777" w:rsidR="003A6F76" w:rsidRDefault="003A6F76" w:rsidP="00CF5BC4">
            <w:pPr>
              <w:jc w:val="center"/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6692EB7D" w14:textId="77777777" w:rsidR="003A6F76" w:rsidRPr="00342110" w:rsidRDefault="003A6F76" w:rsidP="00CF5BC4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2D6118D1" w14:textId="77777777" w:rsidR="003A6F76" w:rsidRPr="00342110" w:rsidRDefault="003A6F76" w:rsidP="00CF5BC4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</w:p>
        </w:tc>
      </w:tr>
      <w:tr w:rsidR="003A6F76" w14:paraId="1BD81A09" w14:textId="77777777" w:rsidTr="00B336B5">
        <w:trPr>
          <w:trHeight w:val="98"/>
        </w:trPr>
        <w:tc>
          <w:tcPr>
            <w:tcW w:w="48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150657B2" w14:textId="3BE2A52E" w:rsidR="003A6F76" w:rsidRPr="0074469D" w:rsidRDefault="003A6F76" w:rsidP="003A6F76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 xml:space="preserve">RASK 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2F5F0974" w14:textId="3B40E090" w:rsidR="003A6F76" w:rsidRDefault="003A6F76" w:rsidP="003A6F76">
            <w:pPr>
              <w:jc w:val="center"/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6BFA6D0C" w14:textId="668EF75F" w:rsidR="003A6F76" w:rsidRPr="003A6F76" w:rsidRDefault="003A6F76" w:rsidP="003A6F76">
            <w:pPr>
              <w:jc w:val="center"/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120%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01365143" w14:textId="2EACCF06" w:rsidR="003A6F76" w:rsidRPr="003A6F76" w:rsidRDefault="003A6F76" w:rsidP="003A6F76">
            <w:pPr>
              <w:jc w:val="center"/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126%</w:t>
            </w:r>
          </w:p>
        </w:tc>
      </w:tr>
      <w:tr w:rsidR="003A6F76" w14:paraId="6FD35D2B" w14:textId="77777777" w:rsidTr="003A6F76">
        <w:trPr>
          <w:trHeight w:val="98"/>
        </w:trPr>
        <w:tc>
          <w:tcPr>
            <w:tcW w:w="48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516349DE" w14:textId="00E7AC2F" w:rsidR="003A6F76" w:rsidRPr="003A6F76" w:rsidRDefault="003A6F76" w:rsidP="003A6F76">
            <w:pPr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3A6F76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 xml:space="preserve"> (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I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T</w:t>
            </w:r>
            <w:r w:rsidRPr="003A6F76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 xml:space="preserve">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3A6F76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6915AC67" w14:textId="42F3BCD8" w:rsidR="003A6F76" w:rsidRPr="003A6F76" w:rsidRDefault="003A6F76" w:rsidP="003A6F76">
            <w:pPr>
              <w:jc w:val="center"/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F83D4B0" w14:textId="2F39C4A0" w:rsidR="003A6F76" w:rsidRPr="00342110" w:rsidRDefault="003A6F76" w:rsidP="003A6F76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103%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7F836C01" w14:textId="3C04E389" w:rsidR="003A6F76" w:rsidRPr="00342110" w:rsidRDefault="003A6F76" w:rsidP="003A6F76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103%</w:t>
            </w:r>
          </w:p>
        </w:tc>
      </w:tr>
      <w:tr w:rsidR="00AD39BE" w14:paraId="2F774EA7" w14:textId="77777777" w:rsidTr="003D5C4C">
        <w:trPr>
          <w:trHeight w:val="98"/>
        </w:trPr>
        <w:tc>
          <w:tcPr>
            <w:tcW w:w="48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28665DB2" w14:textId="434E5268" w:rsidR="00AD39BE" w:rsidRPr="00AD39BE" w:rsidRDefault="00AD39BE" w:rsidP="00AD39BE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I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T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) </w:t>
            </w:r>
            <w:r w:rsidRPr="00B90A7E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εκτός κόστους καυσίμων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A252B16" w14:textId="1E8EFF2B" w:rsidR="00AD39BE" w:rsidRPr="00AD39BE" w:rsidRDefault="00037454" w:rsidP="00AD39BE">
            <w:pPr>
              <w:jc w:val="center"/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002677"/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7EF2D862" w14:textId="06F43C93" w:rsidR="00AD39BE" w:rsidRDefault="00AD39BE" w:rsidP="00AD39B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AD39BE">
              <w:rPr>
                <w:rFonts w:cstheme="minorHAnsi"/>
                <w:color w:val="002677"/>
                <w:sz w:val="22"/>
                <w:szCs w:val="22"/>
              </w:rPr>
              <w:t>96%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bottom"/>
          </w:tcPr>
          <w:p w14:paraId="45642F4C" w14:textId="62C4920A" w:rsidR="00AD39BE" w:rsidRDefault="00AD39BE" w:rsidP="00AD39BE">
            <w:pPr>
              <w:jc w:val="center"/>
              <w:rPr>
                <w:rFonts w:cstheme="minorHAnsi"/>
                <w:color w:val="002677"/>
                <w:sz w:val="22"/>
                <w:szCs w:val="22"/>
              </w:rPr>
            </w:pPr>
            <w:r w:rsidRPr="00AD39BE">
              <w:rPr>
                <w:rFonts w:cstheme="minorHAnsi"/>
                <w:color w:val="002677"/>
                <w:sz w:val="22"/>
                <w:szCs w:val="22"/>
              </w:rPr>
              <w:t>98%</w:t>
            </w:r>
          </w:p>
        </w:tc>
      </w:tr>
    </w:tbl>
    <w:p w14:paraId="1AAA2FBD" w14:textId="77777777" w:rsidR="00E90A54" w:rsidRPr="00D56D56" w:rsidRDefault="00E90A54" w:rsidP="00E90A54">
      <w:pPr>
        <w:tabs>
          <w:tab w:val="left" w:pos="9498"/>
        </w:tabs>
        <w:spacing w:after="240" w:line="276" w:lineRule="auto"/>
        <w:ind w:right="-8"/>
        <w:jc w:val="both"/>
        <w:rPr>
          <w:lang w:val="el-GR"/>
        </w:rPr>
      </w:pPr>
    </w:p>
    <w:p w14:paraId="5BC203BC" w14:textId="020D2FEC" w:rsidR="00DF216D" w:rsidRPr="00D56D56" w:rsidRDefault="00DF216D" w:rsidP="00E90A54">
      <w:pPr>
        <w:tabs>
          <w:tab w:val="left" w:pos="9498"/>
        </w:tabs>
        <w:spacing w:after="240" w:line="276" w:lineRule="auto"/>
        <w:ind w:right="-8"/>
        <w:jc w:val="both"/>
        <w:rPr>
          <w:lang w:val="el-GR"/>
        </w:rPr>
      </w:pPr>
    </w:p>
    <w:p w14:paraId="4EF40FAE" w14:textId="040A60BB" w:rsidR="000E31D5" w:rsidRPr="00D56D56" w:rsidRDefault="000E31D5" w:rsidP="00E90A54">
      <w:pPr>
        <w:tabs>
          <w:tab w:val="left" w:pos="9498"/>
        </w:tabs>
        <w:spacing w:after="240" w:line="276" w:lineRule="auto"/>
        <w:ind w:right="-8"/>
        <w:jc w:val="both"/>
        <w:rPr>
          <w:lang w:val="el-GR"/>
        </w:rPr>
      </w:pPr>
    </w:p>
    <w:p w14:paraId="1D2D9A3C" w14:textId="7982C164" w:rsidR="000E31D5" w:rsidRPr="00D56D56" w:rsidRDefault="000E31D5" w:rsidP="00E90A54">
      <w:pPr>
        <w:tabs>
          <w:tab w:val="left" w:pos="9498"/>
        </w:tabs>
        <w:spacing w:after="240" w:line="276" w:lineRule="auto"/>
        <w:ind w:right="-8"/>
        <w:jc w:val="both"/>
        <w:rPr>
          <w:lang w:val="el-GR"/>
        </w:rPr>
      </w:pPr>
    </w:p>
    <w:p w14:paraId="6D43AE3D" w14:textId="4A13878F" w:rsidR="00471B1D" w:rsidRPr="0074469D" w:rsidRDefault="00471B1D" w:rsidP="00471B1D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>Ανάλυση Καθαρού Δανεισμού</w:t>
      </w:r>
    </w:p>
    <w:tbl>
      <w:tblPr>
        <w:tblW w:w="10065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846"/>
        <w:gridCol w:w="1701"/>
      </w:tblGrid>
      <w:tr w:rsidR="00E90A54" w:rsidRPr="0074469D" w14:paraId="1AE5DE24" w14:textId="77777777" w:rsidTr="00F053F7">
        <w:trPr>
          <w:trHeight w:val="215"/>
        </w:trPr>
        <w:tc>
          <w:tcPr>
            <w:tcW w:w="6518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0905971E" w14:textId="77777777" w:rsidR="00E90A54" w:rsidRPr="0074469D" w:rsidRDefault="00E90A54" w:rsidP="00CF5BC4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  <w:hideMark/>
          </w:tcPr>
          <w:p w14:paraId="368308A8" w14:textId="20059C16" w:rsidR="00E90A54" w:rsidRPr="0074469D" w:rsidRDefault="00E90A54" w:rsidP="00CF5BC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31.12.202</w:t>
            </w:r>
            <w:r w:rsidR="00D5501A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</w:tcPr>
          <w:p w14:paraId="5BEFD5B1" w14:textId="39264B4B" w:rsidR="00E90A54" w:rsidRPr="0074469D" w:rsidRDefault="00E90A54" w:rsidP="00CF5BC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31.</w:t>
            </w:r>
            <w:r w:rsidR="00D5501A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03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.202</w:t>
            </w:r>
            <w:r w:rsidR="00D5501A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</w:tr>
      <w:tr w:rsidR="00E90A54" w:rsidRPr="0074469D" w14:paraId="22420CE4" w14:textId="77777777" w:rsidTr="00F053F7">
        <w:trPr>
          <w:trHeight w:val="111"/>
        </w:trPr>
        <w:tc>
          <w:tcPr>
            <w:tcW w:w="6518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7F87C1B3" w14:textId="77777777" w:rsidR="00E90A54" w:rsidRPr="0074469D" w:rsidRDefault="00E90A54" w:rsidP="00CF5BC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161ED9D4" w14:textId="77777777" w:rsidR="00E90A54" w:rsidRPr="0074469D" w:rsidRDefault="00E90A54" w:rsidP="00CF5BC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EFF2F9"/>
            <w:vAlign w:val="center"/>
          </w:tcPr>
          <w:p w14:paraId="38975FC6" w14:textId="77777777" w:rsidR="00E90A54" w:rsidRPr="0074469D" w:rsidRDefault="00E90A54" w:rsidP="00CF5BC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D87A4A" w:rsidRPr="0074469D" w14:paraId="0972FFD4" w14:textId="77777777" w:rsidTr="00007A25">
        <w:trPr>
          <w:trHeight w:val="136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5820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Σύνολο ταμειακών διαθεσίμων, ισοδύναμων και λοιπών χρηματοοικονομικών επενδύσεων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2A08A" w14:textId="0DE3AFFB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709</w:t>
            </w:r>
            <w:r w:rsidRPr="00C3525E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F2F9"/>
            <w:vAlign w:val="bottom"/>
          </w:tcPr>
          <w:p w14:paraId="44158A9A" w14:textId="3104DCE8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72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8</w:t>
            </w: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,9</w:t>
            </w:r>
          </w:p>
        </w:tc>
      </w:tr>
      <w:tr w:rsidR="00D87A4A" w:rsidRPr="0074469D" w14:paraId="546ADF33" w14:textId="77777777" w:rsidTr="00007A25">
        <w:trPr>
          <w:trHeight w:val="136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1F3E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Δανειακές υποχρεώσεις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3BFB" w14:textId="0701CC0D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C3525E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0</w:t>
            </w:r>
            <w:r w:rsidRPr="00C3525E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F2F9"/>
            <w:vAlign w:val="bottom"/>
          </w:tcPr>
          <w:p w14:paraId="19EDD757" w14:textId="58269112" w:rsidR="00D87A4A" w:rsidRPr="00A16FF1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218,3</w:t>
            </w:r>
          </w:p>
        </w:tc>
      </w:tr>
      <w:tr w:rsidR="00D87A4A" w:rsidRPr="0074469D" w14:paraId="034F16E7" w14:textId="77777777" w:rsidTr="00007A25">
        <w:trPr>
          <w:trHeight w:val="136"/>
        </w:trPr>
        <w:tc>
          <w:tcPr>
            <w:tcW w:w="6518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center"/>
          </w:tcPr>
          <w:p w14:paraId="23018304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Υποχρεώσεις από μισθώσεις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bottom"/>
          </w:tcPr>
          <w:p w14:paraId="0C0C01FB" w14:textId="2357F87A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C3525E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EFF2F9"/>
            <w:vAlign w:val="bottom"/>
          </w:tcPr>
          <w:p w14:paraId="43B49F46" w14:textId="21253EA4" w:rsidR="00D87A4A" w:rsidRPr="00A16FF1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970,7</w:t>
            </w:r>
          </w:p>
        </w:tc>
      </w:tr>
      <w:tr w:rsidR="00D87A4A" w:rsidRPr="0074469D" w14:paraId="63C6C4B5" w14:textId="77777777" w:rsidTr="00007A25">
        <w:trPr>
          <w:trHeight w:val="136"/>
        </w:trPr>
        <w:tc>
          <w:tcPr>
            <w:tcW w:w="6518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0C2E4090" w14:textId="77777777" w:rsidR="00D87A4A" w:rsidRPr="0074469D" w:rsidRDefault="00D87A4A" w:rsidP="00D87A4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Καθαρός Δανεισμός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656F80F8" w14:textId="4DD4915C" w:rsidR="00D87A4A" w:rsidRPr="00920E02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C3525E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412,</w:t>
            </w: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bottom"/>
          </w:tcPr>
          <w:p w14:paraId="01B3A4D2" w14:textId="436220B1" w:rsidR="00D87A4A" w:rsidRPr="00920E02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46</w:t>
            </w: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0</w:t>
            </w:r>
            <w:r w:rsidRPr="00920E0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,1</w:t>
            </w:r>
          </w:p>
        </w:tc>
      </w:tr>
      <w:tr w:rsidR="00D87A4A" w:rsidRPr="0074469D" w14:paraId="3B273C80" w14:textId="77777777" w:rsidTr="00E60352">
        <w:trPr>
          <w:trHeight w:val="70"/>
        </w:trPr>
        <w:tc>
          <w:tcPr>
            <w:tcW w:w="6518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5B754B57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3DD8358D" w14:textId="77777777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2A8B401C" w14:textId="77777777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D87A4A" w:rsidRPr="006F2FCD" w14:paraId="59E47DAB" w14:textId="77777777" w:rsidTr="00936676">
        <w:trPr>
          <w:trHeight w:val="136"/>
        </w:trPr>
        <w:tc>
          <w:tcPr>
            <w:tcW w:w="6518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AD5B58A" w14:textId="750DF0CA" w:rsidR="00D87A4A" w:rsidRPr="006F2FC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Καθαρός Δανεισμός</w:t>
            </w:r>
            <w: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/ (Καθαρά Ταμειακά Διαθέσιμα)</w:t>
            </w:r>
            <w:r w:rsidRPr="006F2FC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 xml:space="preserve"> </w:t>
            </w:r>
            <w: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εξαιρουμένων των μισθώσεων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73A2601F" w14:textId="0A7AAC02" w:rsidR="00D87A4A" w:rsidRPr="00920E02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(</w:t>
            </w:r>
            <w:r w:rsidRPr="006F2FCD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489</w:t>
            </w: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,0)</w:t>
            </w: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bottom"/>
          </w:tcPr>
          <w:p w14:paraId="374E822B" w14:textId="68E3E951" w:rsidR="00D87A4A" w:rsidRPr="00920E02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(</w:t>
            </w:r>
            <w:r w:rsidRPr="00920E0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5</w:t>
            </w: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10</w:t>
            </w:r>
            <w:r w:rsidRPr="00920E0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,6</w:t>
            </w:r>
            <w: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</w:tr>
      <w:tr w:rsidR="00D87A4A" w:rsidRPr="006F2FCD" w14:paraId="61804A15" w14:textId="77777777" w:rsidTr="00E60352">
        <w:trPr>
          <w:trHeight w:val="136"/>
        </w:trPr>
        <w:tc>
          <w:tcPr>
            <w:tcW w:w="6518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3E003FA9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2A96FCFB" w14:textId="77777777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7D73E0B4" w14:textId="77777777" w:rsidR="00D87A4A" w:rsidRPr="006F2FC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</w:tr>
      <w:tr w:rsidR="00D87A4A" w:rsidRPr="0074469D" w14:paraId="28D62C82" w14:textId="77777777" w:rsidTr="00E60352">
        <w:trPr>
          <w:trHeight w:val="136"/>
        </w:trPr>
        <w:tc>
          <w:tcPr>
            <w:tcW w:w="6518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6B48DB88" w14:textId="143061D7" w:rsidR="00D87A4A" w:rsidRPr="00780A47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n-US"/>
              </w:rPr>
              <w:t>EBITD</w:t>
            </w:r>
            <w:r>
              <w:rPr>
                <w:rFonts w:cstheme="minorHAnsi"/>
                <w:color w:val="002677"/>
                <w:sz w:val="22"/>
                <w:szCs w:val="22"/>
                <w:lang w:val="en-US"/>
              </w:rPr>
              <w:t>A</w:t>
            </w:r>
            <w:r w:rsidRPr="00780A47">
              <w:rPr>
                <w:rFonts w:cstheme="minorHAnsi"/>
                <w:color w:val="002677"/>
                <w:sz w:val="22"/>
                <w:szCs w:val="22"/>
                <w:vertAlign w:val="superscript"/>
                <w:lang w:val="en-US"/>
              </w:rPr>
              <w:t>1</w:t>
            </w:r>
            <w:r>
              <w:rPr>
                <w:rFonts w:cstheme="minorHAnsi"/>
                <w:color w:val="002677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cstheme="minorHAnsi"/>
                <w:color w:val="002677"/>
                <w:sz w:val="22"/>
                <w:szCs w:val="22"/>
                <w:lang w:val="en-US"/>
              </w:rPr>
              <w:t>-</w:t>
            </w:r>
            <w:r w:rsidRPr="00F36BD0">
              <w:rPr>
                <w:rFonts w:cstheme="minorHAnsi"/>
                <w:color w:val="243587"/>
                <w:sz w:val="22"/>
                <w:szCs w:val="22"/>
                <w:lang w:val="el-GR"/>
              </w:rPr>
              <w:t>12μηνο trailing</w:t>
            </w:r>
          </w:p>
        </w:tc>
        <w:tc>
          <w:tcPr>
            <w:tcW w:w="1846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bottom"/>
          </w:tcPr>
          <w:p w14:paraId="651AD2DC" w14:textId="69284C77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400,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701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EFF2F9"/>
            <w:vAlign w:val="center"/>
          </w:tcPr>
          <w:p w14:paraId="511835D6" w14:textId="6637A181" w:rsidR="00D87A4A" w:rsidRPr="00542E69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414,2</w:t>
            </w:r>
          </w:p>
        </w:tc>
      </w:tr>
      <w:tr w:rsidR="00D87A4A" w:rsidRPr="0074469D" w14:paraId="719DCFF8" w14:textId="77777777" w:rsidTr="00E60352">
        <w:trPr>
          <w:trHeight w:val="136"/>
        </w:trPr>
        <w:tc>
          <w:tcPr>
            <w:tcW w:w="6518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center"/>
          </w:tcPr>
          <w:p w14:paraId="3B7641EE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Δείκτης Καθαρού Δανεισμού / Ε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n-US"/>
              </w:rPr>
              <w:t>BITDA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bottom"/>
          </w:tcPr>
          <w:p w14:paraId="42CC24F9" w14:textId="095EB2A9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1,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0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2CB3324F" w14:textId="2F5E13A6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1,1x</w:t>
            </w:r>
          </w:p>
        </w:tc>
      </w:tr>
    </w:tbl>
    <w:p w14:paraId="4E40640A" w14:textId="77777777" w:rsidR="00E90A54" w:rsidRPr="0074469D" w:rsidRDefault="00E90A54" w:rsidP="00E90A54">
      <w:pPr>
        <w:spacing w:before="4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52245B88" w14:textId="77777777" w:rsidR="00DF216D" w:rsidRPr="00D027F7" w:rsidRDefault="00DF216D" w:rsidP="00DF216D">
      <w:pPr>
        <w:spacing w:before="40"/>
        <w:jc w:val="both"/>
        <w:rPr>
          <w:rFonts w:cstheme="minorHAnsi"/>
          <w:color w:val="243587"/>
          <w:sz w:val="18"/>
          <w:szCs w:val="18"/>
          <w:lang w:val="el-GR"/>
        </w:rPr>
      </w:pPr>
      <w:r w:rsidRPr="00D027F7">
        <w:rPr>
          <w:rFonts w:cstheme="minorHAnsi"/>
          <w:color w:val="243587"/>
          <w:sz w:val="18"/>
          <w:szCs w:val="18"/>
          <w:lang w:val="el-GR"/>
        </w:rPr>
        <w:t>Σημείωση</w:t>
      </w:r>
      <w:r>
        <w:rPr>
          <w:rFonts w:cstheme="minorHAnsi"/>
          <w:color w:val="243587"/>
          <w:sz w:val="18"/>
          <w:szCs w:val="18"/>
          <w:lang w:val="el-GR"/>
        </w:rPr>
        <w:t>:</w:t>
      </w:r>
    </w:p>
    <w:p w14:paraId="57D853AF" w14:textId="2404525E" w:rsidR="00DF216D" w:rsidRPr="00D027F7" w:rsidRDefault="00DF216D" w:rsidP="00DF216D">
      <w:pPr>
        <w:pStyle w:val="ListParagraph"/>
        <w:numPr>
          <w:ilvl w:val="0"/>
          <w:numId w:val="3"/>
        </w:numPr>
        <w:ind w:left="142" w:hanging="142"/>
        <w:jc w:val="both"/>
        <w:rPr>
          <w:rFonts w:cstheme="minorHAnsi"/>
          <w:color w:val="243587"/>
          <w:sz w:val="18"/>
          <w:szCs w:val="18"/>
          <w:lang w:val="el-GR"/>
        </w:rPr>
      </w:pPr>
      <w:r>
        <w:rPr>
          <w:rFonts w:cstheme="minorHAnsi"/>
          <w:color w:val="243587"/>
          <w:sz w:val="18"/>
          <w:szCs w:val="18"/>
          <w:lang w:val="el-GR"/>
        </w:rPr>
        <w:t xml:space="preserve"> </w:t>
      </w:r>
      <w:r w:rsidRPr="00D027F7">
        <w:rPr>
          <w:rFonts w:cstheme="minorHAnsi"/>
          <w:color w:val="243587"/>
          <w:sz w:val="18"/>
          <w:szCs w:val="18"/>
          <w:lang w:val="el-GR"/>
        </w:rPr>
        <w:t>Κέρδη / (Ζημίες) προ φόρων, χρηματοδοτικών και επενδυτικών αποτελεσμάτων και αποσβέσεων</w:t>
      </w:r>
      <w:r w:rsidRPr="0049672F">
        <w:rPr>
          <w:rFonts w:cstheme="minorHAnsi"/>
          <w:color w:val="243587"/>
          <w:sz w:val="18"/>
          <w:szCs w:val="18"/>
          <w:lang w:val="el-GR"/>
        </w:rPr>
        <w:t xml:space="preserve">, </w:t>
      </w:r>
      <w:r>
        <w:rPr>
          <w:rFonts w:cstheme="minorHAnsi"/>
          <w:color w:val="243587"/>
          <w:sz w:val="18"/>
          <w:szCs w:val="18"/>
          <w:lang w:val="el-GR"/>
        </w:rPr>
        <w:t>των 12 προηγούμενων μηνών (Ιαν</w:t>
      </w:r>
      <w:r w:rsidRPr="00EC0366">
        <w:rPr>
          <w:rFonts w:cstheme="minorHAnsi"/>
          <w:color w:val="243587"/>
          <w:sz w:val="18"/>
          <w:szCs w:val="18"/>
          <w:lang w:val="el-GR"/>
        </w:rPr>
        <w:t>.</w:t>
      </w:r>
      <w:r>
        <w:rPr>
          <w:rFonts w:cstheme="minorHAnsi"/>
          <w:color w:val="243587"/>
          <w:sz w:val="18"/>
          <w:szCs w:val="18"/>
          <w:lang w:val="el-GR"/>
        </w:rPr>
        <w:t>-Δεκ</w:t>
      </w:r>
      <w:r w:rsidRPr="00EC0366">
        <w:rPr>
          <w:rFonts w:cstheme="minorHAnsi"/>
          <w:color w:val="243587"/>
          <w:sz w:val="18"/>
          <w:szCs w:val="18"/>
          <w:lang w:val="el-GR"/>
        </w:rPr>
        <w:t>.</w:t>
      </w:r>
      <w:r>
        <w:rPr>
          <w:rFonts w:cstheme="minorHAnsi"/>
          <w:color w:val="243587"/>
          <w:sz w:val="18"/>
          <w:szCs w:val="18"/>
          <w:lang w:val="el-GR"/>
        </w:rPr>
        <w:t xml:space="preserve"> 2023 και Απρ</w:t>
      </w:r>
      <w:r w:rsidRPr="00EC0366">
        <w:rPr>
          <w:rFonts w:cstheme="minorHAnsi"/>
          <w:color w:val="243587"/>
          <w:sz w:val="18"/>
          <w:szCs w:val="18"/>
          <w:lang w:val="el-GR"/>
        </w:rPr>
        <w:t>.</w:t>
      </w:r>
      <w:r>
        <w:rPr>
          <w:rFonts w:cstheme="minorHAnsi"/>
          <w:color w:val="243587"/>
          <w:sz w:val="18"/>
          <w:szCs w:val="18"/>
          <w:lang w:val="el-GR"/>
        </w:rPr>
        <w:t xml:space="preserve"> 2023</w:t>
      </w:r>
      <w:r w:rsidRPr="00EC0366">
        <w:rPr>
          <w:rFonts w:cstheme="minorHAnsi"/>
          <w:color w:val="243587"/>
          <w:sz w:val="18"/>
          <w:szCs w:val="18"/>
          <w:lang w:val="el-GR"/>
        </w:rPr>
        <w:t xml:space="preserve"> </w:t>
      </w:r>
      <w:r w:rsidR="003375FE" w:rsidRPr="003375FE">
        <w:rPr>
          <w:rFonts w:cstheme="minorHAnsi"/>
          <w:color w:val="243587"/>
          <w:sz w:val="18"/>
          <w:szCs w:val="18"/>
          <w:lang w:val="el-GR"/>
        </w:rPr>
        <w:t xml:space="preserve">- </w:t>
      </w:r>
      <w:r>
        <w:rPr>
          <w:rFonts w:cstheme="minorHAnsi"/>
          <w:color w:val="243587"/>
          <w:sz w:val="18"/>
          <w:szCs w:val="18"/>
          <w:lang w:val="el-GR"/>
        </w:rPr>
        <w:t>Μαρ</w:t>
      </w:r>
      <w:r w:rsidRPr="00EC0366">
        <w:rPr>
          <w:rFonts w:cstheme="minorHAnsi"/>
          <w:color w:val="243587"/>
          <w:sz w:val="18"/>
          <w:szCs w:val="18"/>
          <w:lang w:val="el-GR"/>
        </w:rPr>
        <w:t>.</w:t>
      </w:r>
      <w:r>
        <w:rPr>
          <w:rFonts w:cstheme="minorHAnsi"/>
          <w:color w:val="243587"/>
          <w:sz w:val="18"/>
          <w:szCs w:val="18"/>
          <w:lang w:val="el-GR"/>
        </w:rPr>
        <w:t xml:space="preserve"> 2024 αντίστοιχα</w:t>
      </w:r>
      <w:r w:rsidRPr="0081696E">
        <w:rPr>
          <w:rFonts w:cstheme="minorHAnsi"/>
          <w:color w:val="243587"/>
          <w:sz w:val="18"/>
          <w:szCs w:val="18"/>
          <w:lang w:val="el-GR"/>
        </w:rPr>
        <w:t>)</w:t>
      </w:r>
      <w:r>
        <w:rPr>
          <w:rFonts w:cstheme="minorHAnsi"/>
          <w:color w:val="243587"/>
          <w:sz w:val="18"/>
          <w:szCs w:val="18"/>
          <w:lang w:val="el-GR"/>
        </w:rPr>
        <w:t>.</w:t>
      </w:r>
    </w:p>
    <w:p w14:paraId="174AB2B8" w14:textId="77777777" w:rsidR="00E90A54" w:rsidRPr="0074469D" w:rsidRDefault="00E90A54" w:rsidP="00E90A54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2085AE54" w14:textId="77777777" w:rsidR="00471B1D" w:rsidRPr="0074469D" w:rsidRDefault="00471B1D" w:rsidP="00EF61F5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43C0411F" w14:textId="77777777" w:rsidR="00471B1D" w:rsidRPr="0074469D" w:rsidRDefault="00471B1D" w:rsidP="00EF61F5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2B8BF3BB" w14:textId="77777777" w:rsidR="00471B1D" w:rsidRPr="0074469D" w:rsidRDefault="00471B1D" w:rsidP="00EF61F5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55D4603C" w14:textId="77777777" w:rsidR="00471B1D" w:rsidRPr="0074469D" w:rsidRDefault="00471B1D" w:rsidP="00EF61F5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0D66CC62" w14:textId="3BBB8ED0" w:rsidR="003C24C7" w:rsidRPr="0074469D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256298C8" w14:textId="528BF49E" w:rsidR="003C24C7" w:rsidRPr="0074469D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5E342192" w14:textId="10F8C585" w:rsidR="003C24C7" w:rsidRPr="0074469D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32BE2CE0" w14:textId="44CC51A2" w:rsidR="003C24C7" w:rsidRPr="0074469D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D649FE5" w14:textId="4857118C" w:rsidR="003C24C7" w:rsidRPr="0074469D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4F48FD5A" w14:textId="3E2C4933" w:rsidR="003C24C7" w:rsidRPr="003375FE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5D3D6322" w14:textId="365D8C08" w:rsidR="00D23174" w:rsidRDefault="00D23174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3DD1DD35" w14:textId="37200CFA" w:rsidR="000E31D5" w:rsidRDefault="000E31D5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39E9AAD" w14:textId="56A0C01B" w:rsidR="000E31D5" w:rsidRDefault="000E31D5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1B0CB47" w14:textId="1217C92B" w:rsidR="00E90A54" w:rsidRDefault="00E90A54" w:rsidP="00E90A54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Η </w:t>
      </w:r>
      <w:r w:rsidRPr="0074469D">
        <w:rPr>
          <w:rFonts w:cstheme="minorHAnsi"/>
          <w:b/>
          <w:bCs/>
          <w:color w:val="002677"/>
          <w:sz w:val="22"/>
          <w:szCs w:val="22"/>
        </w:rPr>
        <w:t>AEGEAN</w:t>
      </w: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 με μία ματιά</w:t>
      </w:r>
    </w:p>
    <w:p w14:paraId="358D3809" w14:textId="77777777" w:rsidR="00037454" w:rsidRPr="0074469D" w:rsidRDefault="00037454" w:rsidP="00E90A54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559"/>
        <w:gridCol w:w="1656"/>
        <w:gridCol w:w="754"/>
      </w:tblGrid>
      <w:tr w:rsidR="00DF216D" w:rsidRPr="0074469D" w14:paraId="7BE86987" w14:textId="77777777" w:rsidTr="00B336B5">
        <w:trPr>
          <w:trHeight w:val="208"/>
        </w:trPr>
        <w:tc>
          <w:tcPr>
            <w:tcW w:w="6093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292CEDB" w14:textId="77777777" w:rsidR="00DF216D" w:rsidRPr="00D35150" w:rsidRDefault="00DF216D" w:rsidP="00DF216D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highlight w:val="darkRed"/>
                <w:lang w:val="en-US"/>
              </w:rPr>
            </w:pPr>
            <w:bookmarkStart w:id="4" w:name="_Hlk129612592"/>
            <w:r w:rsidRPr="00B1432B"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  <w:t>(σε € εκατ.)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28EF4B01" w14:textId="77777777" w:rsidR="00DF216D" w:rsidRDefault="00DF216D" w:rsidP="00DF216D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7807FEE9" w14:textId="4A204C5C" w:rsidR="00DF216D" w:rsidRPr="0074469D" w:rsidRDefault="00DF216D" w:rsidP="00DF216D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1656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2098727B" w14:textId="77777777" w:rsidR="00DF216D" w:rsidRDefault="00DF216D" w:rsidP="00DF216D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3C77651A" w14:textId="28FA6D2B" w:rsidR="00DF216D" w:rsidRPr="00DF216D" w:rsidRDefault="00DF216D" w:rsidP="00DF216D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  <w:tc>
          <w:tcPr>
            <w:tcW w:w="754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</w:tcPr>
          <w:p w14:paraId="4B6E5DED" w14:textId="0CDCB9F0" w:rsidR="00DF216D" w:rsidRPr="0074469D" w:rsidRDefault="00DF216D" w:rsidP="00DF216D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μτβ</w:t>
            </w:r>
          </w:p>
        </w:tc>
      </w:tr>
      <w:tr w:rsidR="00F05A0B" w:rsidRPr="0074469D" w14:paraId="7718374B" w14:textId="77777777" w:rsidTr="00E80A8C">
        <w:trPr>
          <w:trHeight w:val="268"/>
        </w:trPr>
        <w:tc>
          <w:tcPr>
            <w:tcW w:w="6093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1E256C3C" w14:textId="5CB0ABE2" w:rsidR="00F05A0B" w:rsidRPr="000319E5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Έσοδα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vAlign w:val="bottom"/>
          </w:tcPr>
          <w:p w14:paraId="1CB60DF2" w14:textId="34097012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229,1</w:t>
            </w:r>
          </w:p>
        </w:tc>
        <w:tc>
          <w:tcPr>
            <w:tcW w:w="1656" w:type="dxa"/>
            <w:tcBorders>
              <w:top w:val="single" w:sz="2" w:space="0" w:color="002677"/>
              <w:left w:val="nil"/>
              <w:right w:val="nil"/>
            </w:tcBorders>
            <w:shd w:val="clear" w:color="auto" w:fill="EEF1F8"/>
            <w:vAlign w:val="bottom"/>
          </w:tcPr>
          <w:p w14:paraId="0F41AFB8" w14:textId="1DE7DD5A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268,8</w:t>
            </w:r>
          </w:p>
        </w:tc>
        <w:tc>
          <w:tcPr>
            <w:tcW w:w="754" w:type="dxa"/>
            <w:tcBorders>
              <w:top w:val="single" w:sz="2" w:space="0" w:color="002677"/>
              <w:left w:val="nil"/>
              <w:right w:val="nil"/>
            </w:tcBorders>
            <w:vAlign w:val="bottom"/>
          </w:tcPr>
          <w:p w14:paraId="65FEDF29" w14:textId="631D3C75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17%</w:t>
            </w:r>
          </w:p>
        </w:tc>
      </w:tr>
      <w:tr w:rsidR="00F05A0B" w:rsidRPr="0074469D" w14:paraId="66BE82B8" w14:textId="77777777" w:rsidTr="00E80A8C">
        <w:trPr>
          <w:trHeight w:val="109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70E2A82" w14:textId="23DE4CE9" w:rsidR="00F05A0B" w:rsidRPr="00F15292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EBITDA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1</w:t>
            </w:r>
            <w:r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581BD93" w14:textId="08E4C406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19,3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0D52B674" w14:textId="0F947DEA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33,2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14:paraId="392E31F8" w14:textId="32457626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72%</w:t>
            </w:r>
          </w:p>
        </w:tc>
      </w:tr>
      <w:tr w:rsidR="00F05A0B" w:rsidRPr="001303D0" w14:paraId="57BF31BE" w14:textId="77777777" w:rsidTr="00B336B5">
        <w:trPr>
          <w:trHeight w:val="268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5A9C614" w14:textId="50B2482F" w:rsidR="00F05A0B" w:rsidRPr="000319E5" w:rsidRDefault="00F05A0B" w:rsidP="00F05A0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0319E5">
              <w:rPr>
                <w:rFonts w:cstheme="minorHAnsi"/>
                <w:color w:val="002677"/>
                <w:sz w:val="22"/>
                <w:szCs w:val="22"/>
                <w:lang w:val="el-GR"/>
              </w:rPr>
              <w:t>Κέρδη/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(Ζημίες)</w:t>
            </w:r>
            <w:r w:rsidRPr="000319E5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προ φόρων και τόκων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>(</w:t>
            </w:r>
            <w:r w:rsidR="004062A2">
              <w:rPr>
                <w:rFonts w:cstheme="minorHAnsi"/>
                <w:color w:val="002677"/>
                <w:sz w:val="22"/>
                <w:szCs w:val="22"/>
                <w:lang w:val="en-US"/>
              </w:rPr>
              <w:t>EBIT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D20C30F" w14:textId="2EC777F4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(14,7)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7CE7EF76" w14:textId="182692C8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(7,2)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14:paraId="68DA79FA" w14:textId="2E271CC6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0319E5" w14:paraId="775FD3C5" w14:textId="77777777" w:rsidTr="00E80A8C">
        <w:trPr>
          <w:trHeight w:val="163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CE43524" w14:textId="1A3E8958" w:rsidR="00F05A0B" w:rsidRPr="000319E5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0319E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Κέρδη</w:t>
            </w:r>
            <w:r w:rsidRPr="000319E5">
              <w:rPr>
                <w:rFonts w:cstheme="minorHAnsi"/>
                <w:color w:val="002677"/>
                <w:sz w:val="22"/>
                <w:szCs w:val="22"/>
                <w:lang w:val="el-GR"/>
              </w:rPr>
              <w:t>/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(Ζημίες)</w:t>
            </w:r>
            <w:r w:rsidRPr="000319E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προ φόρων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>(</w:t>
            </w:r>
            <w:r w:rsidR="004062A2">
              <w:rPr>
                <w:rFonts w:cstheme="minorHAnsi"/>
                <w:color w:val="002677"/>
                <w:sz w:val="22"/>
                <w:szCs w:val="22"/>
                <w:lang w:val="en-US"/>
              </w:rPr>
              <w:t>EBT</w:t>
            </w:r>
            <w:r w:rsidR="004062A2" w:rsidRPr="004062A2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39D78E3B" w14:textId="22874758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(18,6)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1D783358" w14:textId="42546081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(26,3)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14:paraId="27567C81" w14:textId="3D38F0A3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A16FF1" w14:paraId="62F82A18" w14:textId="77777777" w:rsidTr="00E80A8C">
        <w:trPr>
          <w:trHeight w:val="268"/>
        </w:trPr>
        <w:tc>
          <w:tcPr>
            <w:tcW w:w="6093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24C14DE" w14:textId="2D04EEDE" w:rsidR="00F05A0B" w:rsidRPr="000319E5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0319E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Κέρδη</w:t>
            </w:r>
            <w:r w:rsidRPr="000319E5">
              <w:rPr>
                <w:rFonts w:cstheme="minorHAnsi"/>
                <w:color w:val="002677"/>
                <w:sz w:val="22"/>
                <w:szCs w:val="22"/>
                <w:lang w:val="el-GR"/>
              </w:rPr>
              <w:t>/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(Ζημίες)</w:t>
            </w:r>
            <w:r w:rsidRPr="000319E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μετά από φόρους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vAlign w:val="bottom"/>
          </w:tcPr>
          <w:p w14:paraId="2BC95C7F" w14:textId="61C3F2C3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(14,4)</w:t>
            </w:r>
          </w:p>
        </w:tc>
        <w:tc>
          <w:tcPr>
            <w:tcW w:w="1656" w:type="dxa"/>
            <w:tcBorders>
              <w:left w:val="nil"/>
              <w:bottom w:val="single" w:sz="2" w:space="0" w:color="002677"/>
              <w:right w:val="nil"/>
            </w:tcBorders>
            <w:shd w:val="clear" w:color="auto" w:fill="EEF1F8"/>
            <w:vAlign w:val="bottom"/>
          </w:tcPr>
          <w:p w14:paraId="66EE316D" w14:textId="34D4B768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(21,0)</w:t>
            </w:r>
          </w:p>
        </w:tc>
        <w:tc>
          <w:tcPr>
            <w:tcW w:w="754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5AEB12C4" w14:textId="3B11D2F2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74469D" w14:paraId="24D89C2C" w14:textId="77777777" w:rsidTr="00B336B5">
        <w:trPr>
          <w:trHeight w:val="168"/>
        </w:trPr>
        <w:tc>
          <w:tcPr>
            <w:tcW w:w="6093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573CACF" w14:textId="7ABF26A8" w:rsidR="00F05A0B" w:rsidRPr="00D35150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D35150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Συνολικοί επιβάτες (σε χιλ.)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vAlign w:val="bottom"/>
          </w:tcPr>
          <w:p w14:paraId="26385D37" w14:textId="7AA2ABAD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2.581</w:t>
            </w:r>
          </w:p>
        </w:tc>
        <w:tc>
          <w:tcPr>
            <w:tcW w:w="1656" w:type="dxa"/>
            <w:tcBorders>
              <w:top w:val="single" w:sz="2" w:space="0" w:color="002677"/>
              <w:left w:val="nil"/>
              <w:right w:val="nil"/>
            </w:tcBorders>
            <w:shd w:val="clear" w:color="auto" w:fill="EEF1F8"/>
            <w:vAlign w:val="bottom"/>
          </w:tcPr>
          <w:p w14:paraId="5B5CBDAD" w14:textId="3780333A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2.856</w:t>
            </w:r>
          </w:p>
        </w:tc>
        <w:tc>
          <w:tcPr>
            <w:tcW w:w="754" w:type="dxa"/>
            <w:tcBorders>
              <w:top w:val="single" w:sz="2" w:space="0" w:color="002677"/>
              <w:left w:val="nil"/>
              <w:right w:val="nil"/>
            </w:tcBorders>
            <w:vAlign w:val="bottom"/>
          </w:tcPr>
          <w:p w14:paraId="0FE5869E" w14:textId="66B4B885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11%</w:t>
            </w:r>
          </w:p>
        </w:tc>
      </w:tr>
      <w:tr w:rsidR="00F05A0B" w:rsidRPr="00A16FF1" w14:paraId="372BAF3E" w14:textId="77777777" w:rsidTr="00E80A8C">
        <w:trPr>
          <w:trHeight w:val="192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4EBFE35" w14:textId="2C8A4325" w:rsidR="00F05A0B" w:rsidRPr="00D35150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D35150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Μέσος αριθμός επιβατών ανά πτήση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0C83EFE7" w14:textId="2FD640DD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3C9730AF" w14:textId="4660FF96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14:paraId="0F337328" w14:textId="557BE1EB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0%</w:t>
            </w:r>
          </w:p>
        </w:tc>
      </w:tr>
      <w:tr w:rsidR="00F05A0B" w:rsidRPr="00A16FF1" w14:paraId="41F316B8" w14:textId="77777777" w:rsidTr="00E80A8C">
        <w:trPr>
          <w:trHeight w:val="66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1EE9F50" w14:textId="142EF43A" w:rsidR="00F05A0B" w:rsidRPr="0074469D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 - Τακτικές πτήσεις (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RPK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/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ASK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5A6285F8" w14:textId="2EFFC62D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81,6%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10BA66FE" w14:textId="50218CD7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81,7%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14:paraId="5A0DE754" w14:textId="5055B13A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0,1pp</w:t>
            </w:r>
          </w:p>
        </w:tc>
      </w:tr>
      <w:tr w:rsidR="00F05A0B" w:rsidRPr="00A16FF1" w14:paraId="055901E2" w14:textId="77777777" w:rsidTr="00E80A8C">
        <w:trPr>
          <w:trHeight w:val="268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5BB68E3" w14:textId="0DEC0F5C" w:rsidR="00F05A0B" w:rsidRPr="0074469D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Πληρότητας- Τακτικές Πτήσεις (Επιβάτες/Διαθέσιμες Θέσεις)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21B3905A" w14:textId="477360CF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80,0%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00B595E8" w14:textId="64BCB23C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80,6%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14:paraId="51448427" w14:textId="671CCA0A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0,6pp</w:t>
            </w:r>
          </w:p>
        </w:tc>
      </w:tr>
      <w:tr w:rsidR="00F05A0B" w:rsidRPr="0074469D" w14:paraId="23C171BF" w14:textId="77777777" w:rsidTr="00B336B5">
        <w:trPr>
          <w:trHeight w:val="268"/>
        </w:trPr>
        <w:tc>
          <w:tcPr>
            <w:tcW w:w="6093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2A9E86F" w14:textId="7E3957C3" w:rsidR="00F05A0B" w:rsidRPr="0074469D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Μέση απόσταση πτήσεων (χλμ.)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vAlign w:val="bottom"/>
          </w:tcPr>
          <w:p w14:paraId="0B46C00C" w14:textId="16E7BE13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891</w:t>
            </w:r>
          </w:p>
        </w:tc>
        <w:tc>
          <w:tcPr>
            <w:tcW w:w="1656" w:type="dxa"/>
            <w:tcBorders>
              <w:left w:val="nil"/>
              <w:bottom w:val="single" w:sz="2" w:space="0" w:color="002677"/>
              <w:right w:val="nil"/>
            </w:tcBorders>
            <w:shd w:val="clear" w:color="auto" w:fill="EEF1F8"/>
            <w:vAlign w:val="bottom"/>
          </w:tcPr>
          <w:p w14:paraId="3442380B" w14:textId="145E9DEE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920</w:t>
            </w:r>
          </w:p>
        </w:tc>
        <w:tc>
          <w:tcPr>
            <w:tcW w:w="754" w:type="dxa"/>
            <w:tcBorders>
              <w:left w:val="nil"/>
              <w:bottom w:val="single" w:sz="2" w:space="0" w:color="002677"/>
              <w:right w:val="nil"/>
            </w:tcBorders>
            <w:vAlign w:val="bottom"/>
          </w:tcPr>
          <w:p w14:paraId="6B6CD3DD" w14:textId="25D6CA72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3%</w:t>
            </w:r>
          </w:p>
        </w:tc>
      </w:tr>
      <w:tr w:rsidR="00F05A0B" w:rsidRPr="0074469D" w14:paraId="7205F7DE" w14:textId="77777777" w:rsidTr="00E80A8C">
        <w:trPr>
          <w:trHeight w:val="268"/>
        </w:trPr>
        <w:tc>
          <w:tcPr>
            <w:tcW w:w="6093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F356448" w14:textId="6359D1C0" w:rsidR="00F05A0B" w:rsidRPr="0074469D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RASK (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σε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 xml:space="preserve"> €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λεπτά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)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2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vAlign w:val="bottom"/>
          </w:tcPr>
          <w:p w14:paraId="4E550B54" w14:textId="6B659835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6,9</w:t>
            </w:r>
          </w:p>
        </w:tc>
        <w:tc>
          <w:tcPr>
            <w:tcW w:w="1656" w:type="dxa"/>
            <w:tcBorders>
              <w:top w:val="single" w:sz="2" w:space="0" w:color="002677"/>
              <w:left w:val="nil"/>
              <w:right w:val="nil"/>
            </w:tcBorders>
            <w:shd w:val="clear" w:color="auto" w:fill="EEF1F8"/>
            <w:vAlign w:val="bottom"/>
          </w:tcPr>
          <w:p w14:paraId="2FA061F2" w14:textId="48BE87C9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7,2</w:t>
            </w:r>
          </w:p>
        </w:tc>
        <w:tc>
          <w:tcPr>
            <w:tcW w:w="754" w:type="dxa"/>
            <w:tcBorders>
              <w:top w:val="single" w:sz="2" w:space="0" w:color="002677"/>
              <w:left w:val="nil"/>
              <w:right w:val="nil"/>
            </w:tcBorders>
            <w:vAlign w:val="bottom"/>
          </w:tcPr>
          <w:p w14:paraId="36DA3EE1" w14:textId="5C5B2F64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5%</w:t>
            </w:r>
          </w:p>
        </w:tc>
      </w:tr>
      <w:tr w:rsidR="00F05A0B" w:rsidRPr="0074469D" w14:paraId="1DB2D6CB" w14:textId="77777777" w:rsidTr="00B336B5">
        <w:trPr>
          <w:trHeight w:val="268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A02E65F" w14:textId="0046D9DF" w:rsidR="00F05A0B" w:rsidRPr="0074469D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Yield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(σε € λεπτά)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C4CCBEB" w14:textId="3CD9DA3C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1303D0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8,4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79379E14" w14:textId="734A2064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1303D0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8,8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14:paraId="65B86FCE" w14:textId="3B083942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1303D0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4%</w:t>
            </w:r>
          </w:p>
        </w:tc>
      </w:tr>
      <w:tr w:rsidR="00F05A0B" w:rsidRPr="0074469D" w14:paraId="0A9C8B78" w14:textId="77777777" w:rsidTr="00E80A8C">
        <w:trPr>
          <w:trHeight w:val="141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0E6ED8E" w14:textId="45EC8340" w:rsidR="00F05A0B" w:rsidRPr="0074469D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EBT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 σε € λεπτά)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6634492F" w14:textId="09ABD1E8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7,7</w:t>
            </w: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EEF1F8"/>
            <w:vAlign w:val="bottom"/>
          </w:tcPr>
          <w:p w14:paraId="7EE87FCA" w14:textId="68EFA502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8,0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14:paraId="387B61EB" w14:textId="4F0B2166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5%</w:t>
            </w:r>
          </w:p>
        </w:tc>
      </w:tr>
      <w:tr w:rsidR="00F05A0B" w:rsidRPr="00A16FF1" w14:paraId="5D43AD4C" w14:textId="77777777" w:rsidTr="00E80A8C">
        <w:trPr>
          <w:trHeight w:val="268"/>
        </w:trPr>
        <w:tc>
          <w:tcPr>
            <w:tcW w:w="6093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FF6775E" w14:textId="07D262C3" w:rsidR="00F05A0B" w:rsidRPr="00B90A7E" w:rsidRDefault="00F05A0B" w:rsidP="00F05A0B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EBT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 σε € λεπτά)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4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B90A7E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εκτός κόστους καυσίμων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vAlign w:val="bottom"/>
          </w:tcPr>
          <w:p w14:paraId="4D4E1C9A" w14:textId="494607AE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5,8</w:t>
            </w:r>
          </w:p>
        </w:tc>
        <w:tc>
          <w:tcPr>
            <w:tcW w:w="1656" w:type="dxa"/>
            <w:tcBorders>
              <w:left w:val="nil"/>
              <w:bottom w:val="single" w:sz="2" w:space="0" w:color="002677"/>
              <w:right w:val="nil"/>
            </w:tcBorders>
            <w:shd w:val="clear" w:color="auto" w:fill="EEF1F8"/>
            <w:vAlign w:val="bottom"/>
          </w:tcPr>
          <w:p w14:paraId="48AC166A" w14:textId="34C38E2B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6,3</w:t>
            </w:r>
          </w:p>
        </w:tc>
        <w:tc>
          <w:tcPr>
            <w:tcW w:w="754" w:type="dxa"/>
            <w:tcBorders>
              <w:left w:val="nil"/>
              <w:bottom w:val="single" w:sz="2" w:space="0" w:color="002677"/>
              <w:right w:val="nil"/>
            </w:tcBorders>
            <w:vAlign w:val="bottom"/>
          </w:tcPr>
          <w:p w14:paraId="0CE4AB84" w14:textId="0EA03229" w:rsidR="00F05A0B" w:rsidRPr="001303D0" w:rsidRDefault="00F05A0B" w:rsidP="00F05A0B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9%</w:t>
            </w:r>
          </w:p>
        </w:tc>
      </w:tr>
    </w:tbl>
    <w:p w14:paraId="085C1601" w14:textId="77777777" w:rsidR="00E90A54" w:rsidRPr="0074469D" w:rsidRDefault="00E90A54" w:rsidP="00E90A54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bookmarkEnd w:id="4"/>
    <w:p w14:paraId="4FC4CC39" w14:textId="77777777" w:rsidR="00E90A54" w:rsidRPr="00D23174" w:rsidRDefault="00E90A54" w:rsidP="00E90A54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lang w:val="el-GR"/>
        </w:rPr>
        <w:t>Σημειώσεις:</w:t>
      </w:r>
    </w:p>
    <w:p w14:paraId="4BDB98D3" w14:textId="77777777" w:rsidR="00E90A54" w:rsidRPr="00D23174" w:rsidRDefault="00E90A54" w:rsidP="00E90A54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D23174">
        <w:rPr>
          <w:rFonts w:cstheme="minorHAnsi"/>
          <w:color w:val="002677"/>
          <w:sz w:val="18"/>
          <w:szCs w:val="18"/>
          <w:lang w:val="el-GR"/>
        </w:rPr>
        <w:t xml:space="preserve"> Κέρδη προ φόρων, χρηματοδοτικών και επενδυτικών αποτελεσμάτων και αποσβέσεων.</w:t>
      </w:r>
    </w:p>
    <w:p w14:paraId="4282A2A1" w14:textId="77777777" w:rsidR="00E90A54" w:rsidRPr="00D23174" w:rsidRDefault="00E90A54" w:rsidP="00E90A54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vertAlign w:val="superscript"/>
          <w:lang w:val="el-GR"/>
        </w:rPr>
        <w:t>2</w:t>
      </w:r>
      <w:r w:rsidRPr="00D23174">
        <w:rPr>
          <w:rFonts w:cstheme="minorHAnsi"/>
          <w:color w:val="002677"/>
          <w:sz w:val="18"/>
          <w:szCs w:val="18"/>
          <w:lang w:val="el-GR"/>
        </w:rPr>
        <w:t xml:space="preserve"> Μέσο έσοδο ανά χιλιομετρική θέση, δε λαμβάνονται υπόψιν τα Λοιπά Έσοδα.</w:t>
      </w:r>
    </w:p>
    <w:p w14:paraId="28A5DB5F" w14:textId="77777777" w:rsidR="00E90A54" w:rsidRPr="00D23174" w:rsidRDefault="00E90A54" w:rsidP="00E90A54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vertAlign w:val="superscript"/>
          <w:lang w:val="el-GR"/>
        </w:rPr>
        <w:t>3</w:t>
      </w:r>
      <w:r w:rsidRPr="00D23174">
        <w:rPr>
          <w:rFonts w:cstheme="minorHAnsi"/>
          <w:color w:val="002677"/>
          <w:sz w:val="18"/>
          <w:szCs w:val="18"/>
          <w:lang w:val="el-GR"/>
        </w:rPr>
        <w:t xml:space="preserve"> Μέσο έσοδο ανά χιλιομετρικό επιβάτη, δε λαμβάνονται υπόψιν τα Λοιπά Έσοδα. </w:t>
      </w:r>
    </w:p>
    <w:p w14:paraId="7DDDA007" w14:textId="77777777" w:rsidR="00E90A54" w:rsidRPr="00D23174" w:rsidRDefault="00E90A54" w:rsidP="00E90A54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vertAlign w:val="superscript"/>
          <w:lang w:val="el-GR"/>
        </w:rPr>
        <w:t>4</w:t>
      </w:r>
      <w:r w:rsidRPr="00D23174">
        <w:rPr>
          <w:rFonts w:cstheme="minorHAnsi"/>
          <w:color w:val="002677"/>
          <w:sz w:val="18"/>
          <w:szCs w:val="18"/>
          <w:lang w:val="el-GR"/>
        </w:rPr>
        <w:t xml:space="preserve"> Μέσο κόστος ανά χιλιομετρική θέση.</w:t>
      </w:r>
    </w:p>
    <w:p w14:paraId="3A51288D" w14:textId="77777777" w:rsidR="00E90A54" w:rsidRPr="0074469D" w:rsidRDefault="00E90A54" w:rsidP="00E90A54">
      <w:pPr>
        <w:rPr>
          <w:rFonts w:cstheme="minorHAnsi"/>
          <w:color w:val="002677"/>
          <w:sz w:val="22"/>
          <w:szCs w:val="22"/>
          <w:vertAlign w:val="superscript"/>
          <w:lang w:val="el-GR"/>
        </w:rPr>
      </w:pPr>
    </w:p>
    <w:p w14:paraId="132462C6" w14:textId="77777777" w:rsidR="00471B1D" w:rsidRPr="0074469D" w:rsidRDefault="00471B1D" w:rsidP="00471B1D">
      <w:pPr>
        <w:rPr>
          <w:rFonts w:cstheme="minorHAnsi"/>
          <w:color w:val="002677"/>
          <w:sz w:val="22"/>
          <w:szCs w:val="22"/>
          <w:vertAlign w:val="superscript"/>
          <w:lang w:val="el-GR"/>
        </w:rPr>
      </w:pPr>
    </w:p>
    <w:p w14:paraId="3394C88B" w14:textId="77777777" w:rsidR="00645A95" w:rsidRPr="0074469D" w:rsidRDefault="00645A95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48BC0A1E" w14:textId="77777777" w:rsidR="00471B1D" w:rsidRPr="0074469D" w:rsidRDefault="00471B1D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82FFA78" w14:textId="77777777" w:rsidR="00471B1D" w:rsidRPr="0074469D" w:rsidRDefault="00471B1D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4AA4828B" w14:textId="77777777" w:rsidR="00471B1D" w:rsidRDefault="00471B1D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45EA8055" w14:textId="77777777" w:rsidR="00D35150" w:rsidRDefault="00D35150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42C9DFDF" w14:textId="77777777" w:rsidR="00D35150" w:rsidRPr="006449F7" w:rsidRDefault="00D35150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37DD32C1" w14:textId="77777777" w:rsidR="001303D0" w:rsidRPr="006449F7" w:rsidRDefault="001303D0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26D022B1" w14:textId="77777777" w:rsidR="001303D0" w:rsidRPr="006449F7" w:rsidRDefault="001303D0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05592561" w14:textId="77777777" w:rsidR="00471B1D" w:rsidRPr="00C51222" w:rsidRDefault="00471B1D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7129812B" w14:textId="77777777" w:rsidR="00B90A7E" w:rsidRPr="00C51222" w:rsidRDefault="00B90A7E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1FC7FA30" w14:textId="77777777" w:rsidR="00471B1D" w:rsidRDefault="00471B1D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509969D3" w14:textId="77777777" w:rsidR="00DF216D" w:rsidRPr="006449F7" w:rsidRDefault="00DF216D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1A8ACA56" w14:textId="77777777" w:rsidR="00D23174" w:rsidRPr="006449F7" w:rsidRDefault="00D23174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54963948" w14:textId="77777777" w:rsidR="00D23174" w:rsidRPr="006449F7" w:rsidRDefault="00D23174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3D2F0666" w14:textId="197B2579" w:rsidR="00E90A54" w:rsidRDefault="00E90A54" w:rsidP="00E90A54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Ενοποιημένη Κατάσταση </w:t>
      </w:r>
      <w:r>
        <w:rPr>
          <w:rFonts w:cstheme="minorHAnsi"/>
          <w:b/>
          <w:bCs/>
          <w:color w:val="002677"/>
          <w:sz w:val="22"/>
          <w:szCs w:val="22"/>
          <w:lang w:val="el-GR"/>
        </w:rPr>
        <w:t>Λ</w:t>
      </w: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ογαριασμού </w:t>
      </w:r>
      <w:r>
        <w:rPr>
          <w:rFonts w:cstheme="minorHAnsi"/>
          <w:b/>
          <w:bCs/>
          <w:color w:val="002677"/>
          <w:sz w:val="22"/>
          <w:szCs w:val="22"/>
          <w:lang w:val="el-GR"/>
        </w:rPr>
        <w:t>Α</w:t>
      </w: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ποτελεσμάτων </w:t>
      </w:r>
      <w:r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- </w:t>
      </w:r>
      <w:r w:rsidR="002F1094">
        <w:rPr>
          <w:rFonts w:cstheme="minorHAnsi"/>
          <w:b/>
          <w:bCs/>
          <w:color w:val="002677"/>
          <w:sz w:val="22"/>
          <w:szCs w:val="22"/>
          <w:lang w:val="el-GR"/>
        </w:rPr>
        <w:t>Πρώτο</w:t>
      </w: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 Τρ</w:t>
      </w:r>
      <w:r>
        <w:rPr>
          <w:rFonts w:cstheme="minorHAnsi"/>
          <w:b/>
          <w:bCs/>
          <w:color w:val="002677"/>
          <w:sz w:val="22"/>
          <w:szCs w:val="22"/>
          <w:lang w:val="el-GR"/>
        </w:rPr>
        <w:t>ί</w:t>
      </w: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>μ</w:t>
      </w:r>
      <w:r>
        <w:rPr>
          <w:rFonts w:cstheme="minorHAnsi"/>
          <w:b/>
          <w:bCs/>
          <w:color w:val="002677"/>
          <w:sz w:val="22"/>
          <w:szCs w:val="22"/>
          <w:lang w:val="el-GR"/>
        </w:rPr>
        <w:t>η</w:t>
      </w: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t>νο 202</w:t>
      </w:r>
      <w:r w:rsidR="00DF216D">
        <w:rPr>
          <w:rFonts w:cstheme="minorHAnsi"/>
          <w:b/>
          <w:bCs/>
          <w:color w:val="002677"/>
          <w:sz w:val="22"/>
          <w:szCs w:val="22"/>
          <w:lang w:val="el-GR"/>
        </w:rPr>
        <w:t>4</w:t>
      </w:r>
    </w:p>
    <w:p w14:paraId="2DFADA97" w14:textId="77777777" w:rsidR="00E90A54" w:rsidRPr="0074469D" w:rsidRDefault="00E90A54" w:rsidP="00E90A54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1559"/>
        <w:gridCol w:w="1559"/>
        <w:gridCol w:w="957"/>
      </w:tblGrid>
      <w:tr w:rsidR="00F05A0B" w:rsidRPr="0074469D" w14:paraId="1D3FDF14" w14:textId="77777777" w:rsidTr="00C706FF">
        <w:trPr>
          <w:trHeight w:val="178"/>
        </w:trPr>
        <w:tc>
          <w:tcPr>
            <w:tcW w:w="5951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8424B58" w14:textId="77777777" w:rsidR="00F05A0B" w:rsidRPr="0074469D" w:rsidRDefault="00F05A0B" w:rsidP="00C706FF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25122D2" w14:textId="77777777" w:rsidR="00F05A0B" w:rsidRDefault="00F05A0B" w:rsidP="00C706FF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3DB1A071" w14:textId="77777777" w:rsidR="00F05A0B" w:rsidRPr="0074469D" w:rsidRDefault="00F05A0B" w:rsidP="00C706FF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6264D3D5" w14:textId="77777777" w:rsidR="00F05A0B" w:rsidRDefault="00F05A0B" w:rsidP="00C706FF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511F88D7" w14:textId="77777777" w:rsidR="00F05A0B" w:rsidRPr="0074469D" w:rsidRDefault="00F05A0B" w:rsidP="00C706FF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</w:tcPr>
          <w:p w14:paraId="41D1809D" w14:textId="77777777" w:rsidR="00F05A0B" w:rsidRPr="0074469D" w:rsidRDefault="00F05A0B" w:rsidP="00C706FF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μτβ</w:t>
            </w:r>
          </w:p>
        </w:tc>
      </w:tr>
      <w:tr w:rsidR="00F05A0B" w:rsidRPr="0074469D" w14:paraId="494D5EA0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65DC627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Έσοδα από τακτικές πτήσεις 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878F5F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200,0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EFF2F9"/>
            <w:vAlign w:val="center"/>
          </w:tcPr>
          <w:p w14:paraId="59941B1C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236,3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right w:val="nil"/>
            </w:tcBorders>
            <w:vAlign w:val="center"/>
          </w:tcPr>
          <w:p w14:paraId="21E0D4B8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18%</w:t>
            </w:r>
          </w:p>
        </w:tc>
      </w:tr>
      <w:tr w:rsidR="00F05A0B" w:rsidRPr="0074469D" w14:paraId="767ACE90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833FA6A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Έσοδα από ναυλωμένες πτήσεις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1A89A0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2,5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3E1EA627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3,6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38D8F6A4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47%</w:t>
            </w:r>
          </w:p>
        </w:tc>
      </w:tr>
      <w:tr w:rsidR="00F05A0B" w:rsidRPr="002F1094" w14:paraId="08F394E1" w14:textId="77777777" w:rsidTr="00C706FF">
        <w:trPr>
          <w:trHeight w:val="170"/>
        </w:trPr>
        <w:tc>
          <w:tcPr>
            <w:tcW w:w="5951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053541C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Άλλα έσοδα εκμετάλλευσης που σχετίζονται με τις πτήσεις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CEA24A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26,6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4D34F535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28,9</w:t>
            </w:r>
          </w:p>
        </w:tc>
        <w:tc>
          <w:tcPr>
            <w:tcW w:w="957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03AFC3B4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8%</w:t>
            </w:r>
          </w:p>
        </w:tc>
      </w:tr>
      <w:tr w:rsidR="00F05A0B" w:rsidRPr="002F1094" w14:paraId="2D35654B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3A32FF8" w14:textId="77777777" w:rsidR="00F05A0B" w:rsidRPr="00342110" w:rsidRDefault="00F05A0B" w:rsidP="00C706F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Έσοδα από συμβάσεις με πελάτες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73E15C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229,1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46995CF7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268,8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049041B5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17%</w:t>
            </w:r>
          </w:p>
        </w:tc>
      </w:tr>
      <w:tr w:rsidR="00F05A0B" w:rsidRPr="0074469D" w14:paraId="5D4E712D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47BABFC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Λοιπά έσοδα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81D629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7,9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EFF2F9"/>
            <w:vAlign w:val="center"/>
          </w:tcPr>
          <w:p w14:paraId="5B01C739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6,6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right w:val="nil"/>
            </w:tcBorders>
            <w:vAlign w:val="center"/>
          </w:tcPr>
          <w:p w14:paraId="6E44B7DC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-16%</w:t>
            </w:r>
          </w:p>
        </w:tc>
      </w:tr>
      <w:tr w:rsidR="00F05A0B" w:rsidRPr="0074469D" w14:paraId="67861594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558A7BC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Παροχές σε εργαζόμενους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27AFB6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(30,5)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6E8CBFD7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(38,0)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28A89C6F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25%</w:t>
            </w:r>
          </w:p>
        </w:tc>
      </w:tr>
      <w:tr w:rsidR="00F05A0B" w:rsidRPr="0074469D" w14:paraId="0D892B18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DF6C501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Καύσιμα Αεροσκαφών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082F8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(62,8)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0BDD2223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(65,2)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3D735B7A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4%</w:t>
            </w:r>
          </w:p>
        </w:tc>
      </w:tr>
      <w:tr w:rsidR="00F05A0B" w:rsidRPr="0074469D" w14:paraId="0FFB688B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246EE0A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Συντήρηση αεροσκαφών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26E9EC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(23,3)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2DE8D8FA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(33,3)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58D8CB48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43%</w:t>
            </w:r>
          </w:p>
        </w:tc>
      </w:tr>
      <w:tr w:rsidR="00F05A0B" w:rsidRPr="0074469D" w14:paraId="3BAB3628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AE658BD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Τέλη υπ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έ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ρπτ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η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σης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E72600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(12,6)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0BA99197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(15,4)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0342FB31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22%</w:t>
            </w:r>
          </w:p>
        </w:tc>
      </w:tr>
      <w:tr w:rsidR="00F05A0B" w:rsidRPr="0074469D" w14:paraId="637ADB34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2496E95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Έξοδα επίγειας εξυπηρέτησης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2410A3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(15,9)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709F1421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(18,1)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21D42ACE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14%</w:t>
            </w:r>
          </w:p>
        </w:tc>
      </w:tr>
      <w:tr w:rsidR="00F05A0B" w:rsidRPr="0074469D" w14:paraId="3B63B85A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B3846D5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Χρεώσεις αεροδρομίων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025DA1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(16,1)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2ACEB3E5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(17,4)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56D819D4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8%</w:t>
            </w:r>
          </w:p>
        </w:tc>
      </w:tr>
      <w:tr w:rsidR="00F05A0B" w:rsidRPr="0074469D" w14:paraId="50D66307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BA42278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Έξοδα catering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CB4443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(8,3)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2B06A31F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(8,8)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38AC9B81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5%</w:t>
            </w:r>
          </w:p>
        </w:tc>
      </w:tr>
      <w:tr w:rsidR="00F05A0B" w:rsidRPr="0074469D" w14:paraId="2E617A07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BA1E21A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Έξοδα διανομής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6BE221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(13,8)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71CEC7EE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(18,9)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24D8DB4A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37%</w:t>
            </w:r>
          </w:p>
        </w:tc>
      </w:tr>
      <w:tr w:rsidR="00F05A0B" w:rsidRPr="0074469D" w14:paraId="20139C47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C9337B5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Έξοδα προβολής και διαφήμισης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CCFA6F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(5,0)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60B072E0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(4,2)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6C33F38F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-17%</w:t>
            </w:r>
          </w:p>
        </w:tc>
      </w:tr>
      <w:tr w:rsidR="00F05A0B" w:rsidRPr="0074469D" w14:paraId="322A406A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B5F15DA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Διάφορα έξοδα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D61FAA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(27,1)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2689A3F0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(20,9)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0962E650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-23%</w:t>
            </w:r>
          </w:p>
        </w:tc>
      </w:tr>
      <w:tr w:rsidR="00F05A0B" w:rsidRPr="0074469D" w14:paraId="722DBB6C" w14:textId="77777777" w:rsidTr="00C706FF">
        <w:trPr>
          <w:trHeight w:val="170"/>
        </w:trPr>
        <w:tc>
          <w:tcPr>
            <w:tcW w:w="5951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9F5E293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Μισθώσεις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01E07F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(2,1)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280E195E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(2,0)</w:t>
            </w:r>
          </w:p>
        </w:tc>
        <w:tc>
          <w:tcPr>
            <w:tcW w:w="957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3FEFEB96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-6%</w:t>
            </w:r>
          </w:p>
        </w:tc>
      </w:tr>
      <w:tr w:rsidR="00F05A0B" w:rsidRPr="002F1094" w14:paraId="2BE04113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F7C0795" w14:textId="77777777" w:rsidR="00F05A0B" w:rsidRPr="00342110" w:rsidRDefault="00F05A0B" w:rsidP="00C706F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 προ φόρων, χρηματοδοτικών, επενδυτικών αποτελεσμάτων αποσβέσεων και απομειώσεων (</w:t>
            </w: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EBITDA</w:t>
            </w: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3BC7F4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19,3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7472B9E6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33,2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05299B9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72%</w:t>
            </w:r>
          </w:p>
        </w:tc>
      </w:tr>
      <w:tr w:rsidR="00F05A0B" w:rsidRPr="0074469D" w14:paraId="597DFA3C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52D3AE9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Αποσβέσεις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39E1A6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(34,0)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1E927174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(40,3)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31721F0" w14:textId="285A9C4A" w:rsidR="00F05A0B" w:rsidRPr="004F7282" w:rsidRDefault="0038744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19%</w:t>
            </w:r>
          </w:p>
        </w:tc>
      </w:tr>
      <w:tr w:rsidR="00F05A0B" w:rsidRPr="00A16FF1" w14:paraId="4C34BF86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0F5A7FD" w14:textId="695E39C9" w:rsidR="00F05A0B" w:rsidRPr="00342110" w:rsidRDefault="00F05A0B" w:rsidP="00C706F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προ φόρων και τόκων (ΚΠΤΦ</w:t>
            </w:r>
            <w:r w:rsidR="004062A2" w:rsidRPr="004062A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/</w:t>
            </w:r>
            <w:r w:rsidR="004062A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n-US" w:eastAsia="el-GR"/>
              </w:rPr>
              <w:t>EBIT</w:t>
            </w: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3A66BB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(14,7)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0A83FB43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(7,2)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044AFF67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74469D" w14:paraId="483D1EF6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EA45EDC" w14:textId="77777777" w:rsidR="00F05A0B" w:rsidRPr="0074469D" w:rsidRDefault="00F05A0B" w:rsidP="00C706FF">
            <w:pPr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val="en-US" w:eastAsia="el-GR"/>
              </w:rPr>
            </w:pPr>
            <w:r w:rsidRPr="0074469D"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eastAsia="el-GR"/>
              </w:rPr>
              <w:t>Περιθώριο ΚΠΤΦ (</w:t>
            </w:r>
            <w:r w:rsidRPr="0074469D"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val="el-GR" w:eastAsia="el-GR"/>
              </w:rPr>
              <w:t>ΕΒΙΤ Μ</w:t>
            </w:r>
            <w:r w:rsidRPr="0074469D"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val="en-US" w:eastAsia="el-GR"/>
              </w:rPr>
              <w:t>argin)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D7D5F8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-6,4%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EFF2F9"/>
            <w:vAlign w:val="center"/>
          </w:tcPr>
          <w:p w14:paraId="4D385FD6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-2,7%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right w:val="nil"/>
            </w:tcBorders>
            <w:vAlign w:val="center"/>
          </w:tcPr>
          <w:p w14:paraId="06C17F4B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</w:tr>
      <w:tr w:rsidR="00F05A0B" w:rsidRPr="0074469D" w14:paraId="5352B121" w14:textId="77777777" w:rsidTr="00C706FF">
        <w:trPr>
          <w:trHeight w:val="170"/>
        </w:trPr>
        <w:tc>
          <w:tcPr>
            <w:tcW w:w="5951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BD99E7A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Χρηματοοικονομικά έσοδα/ έξοδα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A1A9BB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(3,9)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F2F9"/>
            <w:vAlign w:val="center"/>
          </w:tcPr>
          <w:p w14:paraId="52F924B4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(18,8)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3B01E8F4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A16FF1" w14:paraId="2F66D090" w14:textId="77777777" w:rsidTr="00C706FF">
        <w:trPr>
          <w:trHeight w:val="170"/>
        </w:trPr>
        <w:tc>
          <w:tcPr>
            <w:tcW w:w="5951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6622CAF" w14:textId="77777777" w:rsidR="00F05A0B" w:rsidRPr="00AC5267" w:rsidRDefault="00F05A0B" w:rsidP="00C706F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n-US" w:eastAsia="el-GR"/>
              </w:rPr>
            </w:pPr>
            <w:r w:rsidRPr="00AC5267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Κέρδη/(Zημιές) από συμμετοχές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590C6B" w14:textId="77777777" w:rsidR="00F05A0B" w:rsidRPr="00AC5267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0,0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363E2C5B" w14:textId="77777777" w:rsidR="00F05A0B" w:rsidRPr="00AC5267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(0,3)</w:t>
            </w:r>
          </w:p>
        </w:tc>
        <w:tc>
          <w:tcPr>
            <w:tcW w:w="957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0A385D7A" w14:textId="77777777" w:rsidR="00F05A0B" w:rsidRPr="00AC5267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A16FF1" w14:paraId="2D64FE2D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65BE37B" w14:textId="7BB1696E" w:rsidR="00F05A0B" w:rsidRPr="00342110" w:rsidRDefault="00F05A0B" w:rsidP="00C706F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προ φόρων (ΚΠΦ</w:t>
            </w:r>
            <w:r w:rsidR="004062A2" w:rsidRPr="000B681C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/</w:t>
            </w:r>
            <w:r w:rsidR="004062A2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n-US" w:eastAsia="el-GR"/>
              </w:rPr>
              <w:t>EBT</w:t>
            </w: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329DE1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(18,6)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56DFA36B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(26,3)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5C8D222D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  <w:tr w:rsidR="00F05A0B" w:rsidRPr="0074469D" w14:paraId="12353C7A" w14:textId="77777777" w:rsidTr="00C706FF">
        <w:trPr>
          <w:trHeight w:val="210"/>
        </w:trPr>
        <w:tc>
          <w:tcPr>
            <w:tcW w:w="5951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677D86C" w14:textId="77777777" w:rsidR="00F05A0B" w:rsidRPr="0074469D" w:rsidRDefault="00F05A0B" w:rsidP="00C706FF">
            <w:pPr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val="en-US" w:eastAsia="el-GR"/>
              </w:rPr>
            </w:pPr>
            <w:r w:rsidRPr="0074469D"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eastAsia="el-GR"/>
              </w:rPr>
              <w:t>Περιθώριο ΚΠ</w:t>
            </w:r>
            <w:r w:rsidRPr="0074469D"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val="el-GR" w:eastAsia="el-GR"/>
              </w:rPr>
              <w:t>Φ (</w:t>
            </w:r>
            <w:r w:rsidRPr="0074469D">
              <w:rPr>
                <w:rFonts w:eastAsia="Times New Roman" w:cstheme="minorHAnsi"/>
                <w:i/>
                <w:iCs/>
                <w:color w:val="002677"/>
                <w:sz w:val="22"/>
                <w:szCs w:val="22"/>
                <w:lang w:val="en-US" w:eastAsia="el-GR"/>
              </w:rPr>
              <w:t>EBT Margin)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B65312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-8,1%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shd w:val="clear" w:color="auto" w:fill="EFF2F9"/>
            <w:vAlign w:val="center"/>
          </w:tcPr>
          <w:p w14:paraId="039D96FC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-9,8%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right w:val="nil"/>
            </w:tcBorders>
            <w:vAlign w:val="center"/>
          </w:tcPr>
          <w:p w14:paraId="4FB5F2ED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</w:tr>
      <w:tr w:rsidR="00F05A0B" w:rsidRPr="0074469D" w14:paraId="6988B160" w14:textId="77777777" w:rsidTr="00C706FF">
        <w:trPr>
          <w:trHeight w:val="170"/>
        </w:trPr>
        <w:tc>
          <w:tcPr>
            <w:tcW w:w="5951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F5DC7A6" w14:textId="77777777" w:rsidR="00F05A0B" w:rsidRPr="0074469D" w:rsidRDefault="00F05A0B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Φόρος εισοδήματος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C0EF0A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4,2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639F3443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5,3</w:t>
            </w:r>
          </w:p>
        </w:tc>
        <w:tc>
          <w:tcPr>
            <w:tcW w:w="957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6DA4E240" w14:textId="77777777" w:rsidR="00F05A0B" w:rsidRPr="004F7282" w:rsidRDefault="00F05A0B" w:rsidP="00C706FF">
            <w:pPr>
              <w:jc w:val="center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27%</w:t>
            </w:r>
          </w:p>
        </w:tc>
      </w:tr>
      <w:tr w:rsidR="00F05A0B" w:rsidRPr="00A16FF1" w14:paraId="48ECD93A" w14:textId="77777777" w:rsidTr="00C706FF">
        <w:trPr>
          <w:trHeight w:val="170"/>
        </w:trPr>
        <w:tc>
          <w:tcPr>
            <w:tcW w:w="595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C09A118" w14:textId="77777777" w:rsidR="00F05A0B" w:rsidRPr="00342110" w:rsidRDefault="00F05A0B" w:rsidP="00C706F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342110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μετά από φόρους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75DACD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(14,4)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EFF2F9"/>
            <w:vAlign w:val="center"/>
          </w:tcPr>
          <w:p w14:paraId="3C57D672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 w:rsidRPr="004D212D"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  <w:t>(21,0)</w:t>
            </w:r>
          </w:p>
        </w:tc>
        <w:tc>
          <w:tcPr>
            <w:tcW w:w="95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10CAA371" w14:textId="77777777" w:rsidR="00F05A0B" w:rsidRPr="004D212D" w:rsidRDefault="00F05A0B" w:rsidP="00C706FF">
            <w:pPr>
              <w:jc w:val="center"/>
              <w:rPr>
                <w:rFonts w:ascii="Calibri" w:eastAsia="Times New Roman" w:hAnsi="Calibri" w:cs="Calibri"/>
                <w:b/>
                <w:bCs/>
                <w:color w:val="243587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</w:t>
            </w:r>
          </w:p>
        </w:tc>
      </w:tr>
    </w:tbl>
    <w:p w14:paraId="0BA097B8" w14:textId="77777777" w:rsidR="00E90A54" w:rsidRDefault="00E90A54" w:rsidP="00E90A54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615EDBF" w14:textId="61563F07" w:rsidR="00645A95" w:rsidRDefault="00645A9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73EB05D" w14:textId="77777777" w:rsidR="009625F6" w:rsidRDefault="009625F6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B51BBF5" w14:textId="77777777" w:rsidR="00DF216D" w:rsidRDefault="00DF216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47EED86" w14:textId="77777777" w:rsidR="00DF216D" w:rsidRPr="0074469D" w:rsidRDefault="00DF216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1926BD7" w14:textId="5DD2B26D" w:rsidR="006746DE" w:rsidRPr="0074469D" w:rsidRDefault="006746DE" w:rsidP="006746D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>Συνοπτική Ενοποιημένη Κατάσταση Οικονομικής Θέσης</w:t>
      </w:r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1417"/>
        <w:gridCol w:w="1418"/>
      </w:tblGrid>
      <w:tr w:rsidR="006746DE" w:rsidRPr="0074469D" w14:paraId="5042B8CF" w14:textId="77777777" w:rsidTr="00B336B5">
        <w:trPr>
          <w:trHeight w:val="233"/>
        </w:trPr>
        <w:tc>
          <w:tcPr>
            <w:tcW w:w="7227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6B4B273" w14:textId="77777777" w:rsidR="006746DE" w:rsidRPr="0074469D" w:rsidRDefault="006746DE" w:rsidP="00CF5BC4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r w:rsidRPr="0074469D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4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7D2E9CD9" w14:textId="4D3A2DCF" w:rsidR="006746DE" w:rsidRPr="0074469D" w:rsidRDefault="006746DE" w:rsidP="00CF5BC4">
            <w:pPr>
              <w:spacing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31.12.</w:t>
            </w:r>
            <w:r w:rsidRPr="0074469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="00DF216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1418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441E15" w14:textId="6655A6B3" w:rsidR="006746DE" w:rsidRPr="00DF216D" w:rsidRDefault="006746DE" w:rsidP="00CF5BC4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31.</w:t>
            </w:r>
            <w:r w:rsidR="00DF216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03</w:t>
            </w:r>
            <w:r w:rsidRPr="0074469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74469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="00DF216D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</w:tr>
      <w:tr w:rsidR="006746DE" w:rsidRPr="0074469D" w14:paraId="029EF0C2" w14:textId="77777777" w:rsidTr="00B336B5">
        <w:trPr>
          <w:trHeight w:hRule="exact" w:val="170"/>
        </w:trPr>
        <w:tc>
          <w:tcPr>
            <w:tcW w:w="7227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AB8CB59" w14:textId="77777777" w:rsidR="006746DE" w:rsidRPr="0074469D" w:rsidRDefault="006746DE" w:rsidP="00CF5BC4">
            <w:pPr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0E5DD7A6" w14:textId="77777777" w:rsidR="006746DE" w:rsidRPr="0074469D" w:rsidRDefault="006746DE" w:rsidP="00CF5BC4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26A544" w14:textId="77777777" w:rsidR="006746DE" w:rsidRPr="0074469D" w:rsidRDefault="006746DE" w:rsidP="00CF5BC4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l-GR" w:eastAsia="el-GR"/>
              </w:rPr>
            </w:pPr>
          </w:p>
        </w:tc>
      </w:tr>
      <w:tr w:rsidR="00D87A4A" w:rsidRPr="0074469D" w14:paraId="432DEB57" w14:textId="77777777" w:rsidTr="004E4C18">
        <w:trPr>
          <w:trHeight w:val="233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686E7CB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Μη κυκλοφορούντα περιουσιακά στοιχεία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71BC2" w14:textId="29C6ED59" w:rsidR="00D87A4A" w:rsidRPr="003D220E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1.474,5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0B71F" w14:textId="6DD8BF0F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1.571,7</w:t>
            </w:r>
          </w:p>
        </w:tc>
      </w:tr>
      <w:tr w:rsidR="00D87A4A" w:rsidRPr="0074469D" w14:paraId="1EF8383C" w14:textId="77777777" w:rsidTr="004E4C18">
        <w:trPr>
          <w:trHeight w:val="237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3AA4298" w14:textId="186EA3E4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Ταμειακά Διαθέσιμα</w:t>
            </w:r>
            <w:r w:rsidRPr="0074469D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A0D4" w14:textId="4FEEFC0D" w:rsidR="00D87A4A" w:rsidRPr="00920E02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BB629" w14:textId="77603C3E" w:rsidR="00D87A4A" w:rsidRPr="00920E02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615,2</w:t>
            </w:r>
          </w:p>
        </w:tc>
      </w:tr>
      <w:tr w:rsidR="00D87A4A" w:rsidRPr="0074469D" w14:paraId="5288289A" w14:textId="77777777" w:rsidTr="004E4C18">
        <w:trPr>
          <w:trHeight w:val="232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3921A82" w14:textId="6792294F" w:rsidR="00D87A4A" w:rsidRPr="00920E02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Xρηματοοικονομικά περιουσιακά στοιχεία</w:t>
            </w:r>
            <w:r w:rsidRPr="006F5492">
              <w:rPr>
                <w:rFonts w:cstheme="minorHAnsi"/>
                <w:color w:val="00267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FB65C" w14:textId="56B7124A" w:rsidR="00D87A4A" w:rsidRPr="00920E02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D3A5B1" w14:textId="11AD4BBD" w:rsidR="00D87A4A" w:rsidRPr="00920E02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3</w:t>
            </w: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,8</w:t>
            </w:r>
          </w:p>
        </w:tc>
      </w:tr>
      <w:tr w:rsidR="00D87A4A" w:rsidRPr="0074469D" w14:paraId="56F22FBB" w14:textId="77777777" w:rsidTr="004E4C18">
        <w:trPr>
          <w:trHeight w:val="280"/>
        </w:trPr>
        <w:tc>
          <w:tcPr>
            <w:tcW w:w="7227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C8A89B7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Λοιπά κυκλοφορούντα περιουσιακά στοιχεία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bottom"/>
          </w:tcPr>
          <w:p w14:paraId="79D21AC0" w14:textId="2BAA4694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593FD3" w14:textId="5737D6C8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</w:t>
            </w: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6</w:t>
            </w:r>
            <w:r w:rsidRPr="00920E02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,2</w:t>
            </w:r>
          </w:p>
        </w:tc>
      </w:tr>
      <w:tr w:rsidR="00D87A4A" w:rsidRPr="0074469D" w14:paraId="7ED56311" w14:textId="77777777" w:rsidTr="004E4C18">
        <w:trPr>
          <w:trHeight w:val="269"/>
        </w:trPr>
        <w:tc>
          <w:tcPr>
            <w:tcW w:w="722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41E0DF9" w14:textId="77777777" w:rsidR="00D87A4A" w:rsidRPr="0074469D" w:rsidRDefault="00D87A4A" w:rsidP="00D87A4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Σύνολο Περιουσιακών Στοιχείων</w:t>
            </w:r>
          </w:p>
        </w:tc>
        <w:tc>
          <w:tcPr>
            <w:tcW w:w="14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300AD8A8" w14:textId="6288AA01" w:rsidR="00D87A4A" w:rsidRPr="008422A5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2.412,7</w:t>
            </w:r>
          </w:p>
        </w:tc>
        <w:tc>
          <w:tcPr>
            <w:tcW w:w="1418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267EA6" w14:textId="6310F199" w:rsidR="00D87A4A" w:rsidRPr="000B681C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0B681C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2.556,8</w:t>
            </w:r>
          </w:p>
        </w:tc>
      </w:tr>
      <w:tr w:rsidR="00D87A4A" w:rsidRPr="0074469D" w14:paraId="73173883" w14:textId="77777777" w:rsidTr="004E4C18">
        <w:trPr>
          <w:trHeight w:val="276"/>
        </w:trPr>
        <w:tc>
          <w:tcPr>
            <w:tcW w:w="7227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B468F4A" w14:textId="6D47A07A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Σύνολο Ιδ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ίων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Κεφαλαίων</w:t>
            </w:r>
          </w:p>
        </w:tc>
        <w:tc>
          <w:tcPr>
            <w:tcW w:w="1417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bottom"/>
          </w:tcPr>
          <w:p w14:paraId="3CF3FD7F" w14:textId="7896D44A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418,8</w:t>
            </w:r>
          </w:p>
        </w:tc>
        <w:tc>
          <w:tcPr>
            <w:tcW w:w="1418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50D563" w14:textId="64920ED9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AC5267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417,3</w:t>
            </w:r>
          </w:p>
        </w:tc>
      </w:tr>
      <w:tr w:rsidR="00D87A4A" w:rsidRPr="0074469D" w14:paraId="593C848A" w14:textId="77777777" w:rsidTr="004E4C18">
        <w:trPr>
          <w:trHeight w:val="283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CDFFC0A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>Υποχρεώσεις από μισθώσεις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4EE9E" w14:textId="386AAC80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2D4D9" w14:textId="74173677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AC5267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970,7</w:t>
            </w:r>
          </w:p>
        </w:tc>
      </w:tr>
      <w:tr w:rsidR="00D87A4A" w:rsidRPr="0074469D" w14:paraId="45D06AE9" w14:textId="77777777" w:rsidTr="004D1ECC">
        <w:trPr>
          <w:trHeight w:val="272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1B577B4" w14:textId="77777777" w:rsidR="00D87A4A" w:rsidRPr="0074469D" w:rsidRDefault="00D87A4A" w:rsidP="00D87A4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Δανειακές υποχρεώσεις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DF881" w14:textId="15C40523" w:rsidR="00D87A4A" w:rsidRPr="0074469D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F3249C" w14:textId="17C7ABF5" w:rsidR="00D87A4A" w:rsidRPr="00783066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AC5267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218,3</w:t>
            </w:r>
          </w:p>
        </w:tc>
      </w:tr>
      <w:tr w:rsidR="00D87A4A" w:rsidRPr="0074469D" w14:paraId="1F9295E7" w14:textId="77777777" w:rsidTr="004E4C18">
        <w:trPr>
          <w:trHeight w:val="272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7A23865" w14:textId="77777777" w:rsidR="00D87A4A" w:rsidRPr="001666A9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Λοιπές μακροπρόθεσμες υποχρεώσεις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6D08" w14:textId="24F2B6E8" w:rsidR="00D87A4A" w:rsidRPr="001666A9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15ACCB" w14:textId="00483204" w:rsidR="00D87A4A" w:rsidRPr="001666A9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AC5267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117,1</w:t>
            </w:r>
          </w:p>
        </w:tc>
      </w:tr>
      <w:tr w:rsidR="00D87A4A" w:rsidRPr="0074469D" w14:paraId="687D3C08" w14:textId="77777777" w:rsidTr="004E4C18">
        <w:trPr>
          <w:trHeight w:val="272"/>
        </w:trPr>
        <w:tc>
          <w:tcPr>
            <w:tcW w:w="7227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58D948F" w14:textId="77777777" w:rsidR="00D87A4A" w:rsidRPr="001666A9" w:rsidRDefault="00D87A4A" w:rsidP="00D87A4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Λοιπές βραχυπρόθεσμες υποχρεώσεις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bottom"/>
          </w:tcPr>
          <w:p w14:paraId="33892364" w14:textId="043A8291" w:rsidR="00D87A4A" w:rsidRPr="001666A9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F8D52" w14:textId="3DDD6381" w:rsidR="00D87A4A" w:rsidRPr="001666A9" w:rsidRDefault="00D87A4A" w:rsidP="00D87A4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AC5267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833,3</w:t>
            </w:r>
          </w:p>
        </w:tc>
      </w:tr>
      <w:tr w:rsidR="00D87A4A" w:rsidRPr="0074469D" w14:paraId="1843BFA1" w14:textId="77777777" w:rsidTr="004D1ECC">
        <w:trPr>
          <w:trHeight w:val="263"/>
        </w:trPr>
        <w:tc>
          <w:tcPr>
            <w:tcW w:w="722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774F66B" w14:textId="77777777" w:rsidR="00D87A4A" w:rsidRPr="0074469D" w:rsidRDefault="00D87A4A" w:rsidP="00D87A4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Σύνολο Ιδίων Κεφαλαίων και Υποχρεώσεων</w:t>
            </w:r>
          </w:p>
        </w:tc>
        <w:tc>
          <w:tcPr>
            <w:tcW w:w="1417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4D1E35D8" w14:textId="13E6FC73" w:rsidR="00D87A4A" w:rsidRPr="008422A5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1666A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2.412,7</w:t>
            </w:r>
          </w:p>
        </w:tc>
        <w:tc>
          <w:tcPr>
            <w:tcW w:w="1418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048A8B" w14:textId="1C1818C6" w:rsidR="00D87A4A" w:rsidRPr="000B681C" w:rsidRDefault="00D87A4A" w:rsidP="00D87A4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0B681C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2.556,8</w:t>
            </w:r>
          </w:p>
        </w:tc>
      </w:tr>
    </w:tbl>
    <w:p w14:paraId="1BBF6C3D" w14:textId="4B9BE305" w:rsidR="00471B1D" w:rsidRDefault="00471B1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D196C00" w14:textId="63109D28" w:rsidR="00471B1D" w:rsidRPr="00A925B8" w:rsidRDefault="00471B1D" w:rsidP="00471B1D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lang w:val="el-GR"/>
        </w:rPr>
        <w:t xml:space="preserve">Σημειώσεις: </w:t>
      </w:r>
      <w:r w:rsidRPr="00D23174">
        <w:rPr>
          <w:rFonts w:cstheme="minorHAnsi"/>
          <w:color w:val="002677"/>
          <w:sz w:val="18"/>
          <w:szCs w:val="18"/>
          <w:lang w:val="el-GR"/>
        </w:rPr>
        <w:br/>
      </w:r>
      <w:r w:rsidRPr="00D23174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D23174">
        <w:rPr>
          <w:rFonts w:cstheme="minorHAnsi"/>
          <w:color w:val="002677"/>
          <w:sz w:val="18"/>
          <w:szCs w:val="18"/>
          <w:lang w:val="el-GR"/>
        </w:rPr>
        <w:t xml:space="preserve"> Περιλαμβάνει δεσμευμένες καταθέσεις ποσού</w:t>
      </w:r>
      <w:r w:rsidR="0074469D" w:rsidRPr="00D23174">
        <w:rPr>
          <w:rFonts w:cstheme="minorHAnsi"/>
          <w:color w:val="002677"/>
          <w:sz w:val="18"/>
          <w:szCs w:val="18"/>
          <w:lang w:val="el-GR"/>
        </w:rPr>
        <w:t xml:space="preserve"> €</w:t>
      </w:r>
      <w:r w:rsidR="00C3525E" w:rsidRPr="00D23174">
        <w:rPr>
          <w:rFonts w:cstheme="minorHAnsi"/>
          <w:color w:val="002677"/>
          <w:sz w:val="18"/>
          <w:szCs w:val="18"/>
          <w:lang w:val="el-GR"/>
        </w:rPr>
        <w:t>0</w:t>
      </w:r>
      <w:r w:rsidR="0074469D" w:rsidRPr="00D23174">
        <w:rPr>
          <w:rFonts w:cstheme="minorHAnsi"/>
          <w:color w:val="002677"/>
          <w:sz w:val="18"/>
          <w:szCs w:val="18"/>
          <w:lang w:val="el-GR"/>
        </w:rPr>
        <w:t>,</w:t>
      </w:r>
      <w:r w:rsidR="005E5506" w:rsidRPr="00D23174">
        <w:rPr>
          <w:rFonts w:cstheme="minorHAnsi"/>
          <w:color w:val="002677"/>
          <w:sz w:val="18"/>
          <w:szCs w:val="18"/>
          <w:lang w:val="el-GR"/>
        </w:rPr>
        <w:t>5</w:t>
      </w:r>
      <w:r w:rsidR="0074469D" w:rsidRPr="00D23174">
        <w:rPr>
          <w:rFonts w:cstheme="minorHAnsi"/>
          <w:color w:val="002677"/>
          <w:sz w:val="18"/>
          <w:szCs w:val="18"/>
          <w:lang w:val="el-GR"/>
        </w:rPr>
        <w:t xml:space="preserve"> εκατ. στις 31/12/2023</w:t>
      </w:r>
      <w:r w:rsidR="002F1094" w:rsidRPr="00D23174">
        <w:rPr>
          <w:rFonts w:cstheme="minorHAnsi"/>
          <w:color w:val="002677"/>
          <w:sz w:val="18"/>
          <w:szCs w:val="18"/>
          <w:lang w:val="el-GR"/>
        </w:rPr>
        <w:t xml:space="preserve"> και </w:t>
      </w:r>
      <w:r w:rsidR="00A925B8" w:rsidRPr="00D23174">
        <w:rPr>
          <w:rFonts w:cstheme="minorHAnsi"/>
          <w:color w:val="002677"/>
          <w:sz w:val="18"/>
          <w:szCs w:val="18"/>
          <w:lang w:val="el-GR"/>
        </w:rPr>
        <w:t>€0,</w:t>
      </w:r>
      <w:r w:rsidR="00A925B8" w:rsidRPr="00A925B8">
        <w:rPr>
          <w:rFonts w:cstheme="minorHAnsi"/>
          <w:color w:val="002677"/>
          <w:sz w:val="18"/>
          <w:szCs w:val="18"/>
          <w:lang w:val="el-GR"/>
        </w:rPr>
        <w:t xml:space="preserve">5 </w:t>
      </w:r>
      <w:r w:rsidR="002F1094" w:rsidRPr="00A925B8">
        <w:rPr>
          <w:rFonts w:cstheme="minorHAnsi"/>
          <w:color w:val="002677"/>
          <w:sz w:val="18"/>
          <w:szCs w:val="18"/>
          <w:lang w:val="el-GR"/>
        </w:rPr>
        <w:t>εκατ. στις 31/03/2024</w:t>
      </w:r>
      <w:r w:rsidR="0074469D" w:rsidRPr="00A925B8">
        <w:rPr>
          <w:rFonts w:cstheme="minorHAnsi"/>
          <w:color w:val="002677"/>
          <w:sz w:val="18"/>
          <w:szCs w:val="18"/>
          <w:lang w:val="el-GR"/>
        </w:rPr>
        <w:t>.</w:t>
      </w:r>
    </w:p>
    <w:p w14:paraId="53512713" w14:textId="21A21A87" w:rsidR="00471B1D" w:rsidRPr="00D23174" w:rsidRDefault="00471B1D" w:rsidP="00471B1D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A925B8">
        <w:rPr>
          <w:rFonts w:cstheme="minorHAnsi"/>
          <w:color w:val="002677"/>
          <w:sz w:val="18"/>
          <w:szCs w:val="18"/>
          <w:vertAlign w:val="superscript"/>
          <w:lang w:val="el-GR"/>
        </w:rPr>
        <w:t>2</w:t>
      </w:r>
      <w:r w:rsidRPr="00A925B8">
        <w:rPr>
          <w:rFonts w:cstheme="minorHAnsi"/>
          <w:color w:val="002677"/>
          <w:sz w:val="18"/>
          <w:szCs w:val="18"/>
          <w:lang w:val="el-GR"/>
        </w:rPr>
        <w:t xml:space="preserve"> Περιλαμβάνει ενεχυριασμένα Ομόλογα </w:t>
      </w:r>
      <w:r w:rsidR="0074469D" w:rsidRPr="00A925B8">
        <w:rPr>
          <w:rFonts w:cstheme="minorHAnsi"/>
          <w:color w:val="002677"/>
          <w:sz w:val="18"/>
          <w:szCs w:val="18"/>
          <w:lang w:val="el-GR"/>
        </w:rPr>
        <w:t>€</w:t>
      </w:r>
      <w:r w:rsidR="00C3525E" w:rsidRPr="00A925B8">
        <w:rPr>
          <w:rFonts w:cstheme="minorHAnsi"/>
          <w:color w:val="002677"/>
          <w:sz w:val="18"/>
          <w:szCs w:val="18"/>
          <w:lang w:val="el-GR"/>
        </w:rPr>
        <w:t>10</w:t>
      </w:r>
      <w:r w:rsidR="00551B25" w:rsidRPr="00A925B8">
        <w:rPr>
          <w:rFonts w:cstheme="minorHAnsi"/>
          <w:color w:val="002677"/>
          <w:sz w:val="18"/>
          <w:szCs w:val="18"/>
          <w:lang w:val="el-GR"/>
        </w:rPr>
        <w:t>,</w:t>
      </w:r>
      <w:r w:rsidR="00C3525E" w:rsidRPr="00A925B8">
        <w:rPr>
          <w:rFonts w:cstheme="minorHAnsi"/>
          <w:color w:val="002677"/>
          <w:sz w:val="18"/>
          <w:szCs w:val="18"/>
          <w:lang w:val="el-GR"/>
        </w:rPr>
        <w:t>6</w:t>
      </w:r>
      <w:r w:rsidR="0074469D" w:rsidRPr="00A925B8">
        <w:rPr>
          <w:rFonts w:cstheme="minorHAnsi"/>
          <w:color w:val="002677"/>
          <w:sz w:val="18"/>
          <w:szCs w:val="18"/>
          <w:lang w:val="el-GR"/>
        </w:rPr>
        <w:t xml:space="preserve"> εκατ. στις 31/12/2023</w:t>
      </w:r>
      <w:r w:rsidR="002F1094" w:rsidRPr="00A925B8">
        <w:rPr>
          <w:rFonts w:cstheme="minorHAnsi"/>
          <w:color w:val="002677"/>
          <w:sz w:val="18"/>
          <w:szCs w:val="18"/>
          <w:lang w:val="el-GR"/>
        </w:rPr>
        <w:t xml:space="preserve"> και </w:t>
      </w:r>
      <w:r w:rsidR="00A925B8" w:rsidRPr="00A925B8">
        <w:rPr>
          <w:rFonts w:cstheme="minorHAnsi"/>
          <w:color w:val="002677"/>
          <w:sz w:val="18"/>
          <w:szCs w:val="18"/>
          <w:lang w:val="el-GR"/>
        </w:rPr>
        <w:t xml:space="preserve">€10,6 </w:t>
      </w:r>
      <w:r w:rsidR="002F1094" w:rsidRPr="00A925B8">
        <w:rPr>
          <w:rFonts w:cstheme="minorHAnsi"/>
          <w:color w:val="002677"/>
          <w:sz w:val="18"/>
          <w:szCs w:val="18"/>
          <w:lang w:val="el-GR"/>
        </w:rPr>
        <w:t>εκατ. στις</w:t>
      </w:r>
      <w:r w:rsidR="002F1094" w:rsidRPr="00D23174">
        <w:rPr>
          <w:rFonts w:cstheme="minorHAnsi"/>
          <w:color w:val="002677"/>
          <w:sz w:val="18"/>
          <w:szCs w:val="18"/>
          <w:lang w:val="el-GR"/>
        </w:rPr>
        <w:t xml:space="preserve"> 31/03/2024</w:t>
      </w:r>
      <w:r w:rsidR="0074469D" w:rsidRPr="00D23174">
        <w:rPr>
          <w:rFonts w:cstheme="minorHAnsi"/>
          <w:color w:val="002677"/>
          <w:sz w:val="18"/>
          <w:szCs w:val="18"/>
          <w:lang w:val="el-GR"/>
        </w:rPr>
        <w:t>.</w:t>
      </w:r>
    </w:p>
    <w:p w14:paraId="2EFD6EBC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1B554E3" w14:textId="77777777" w:rsidR="006746DE" w:rsidRPr="002E037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111AC0B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EED3E0E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9B840B4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15564DC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91F2DBF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29623D2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8A32499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7AB8572" w14:textId="77777777" w:rsidR="006746DE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72D265B" w14:textId="77777777" w:rsidR="006746DE" w:rsidRPr="006449F7" w:rsidRDefault="006746DE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127DC19" w14:textId="77777777" w:rsidR="00D23174" w:rsidRPr="006449F7" w:rsidRDefault="00D23174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FFAE95B" w14:textId="77777777" w:rsidR="00D23174" w:rsidRPr="004C08EB" w:rsidRDefault="00D23174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23D6A58" w14:textId="77777777" w:rsidR="00920E02" w:rsidRPr="004C08EB" w:rsidRDefault="00920E0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719E92E" w14:textId="77777777" w:rsidR="00920E02" w:rsidRPr="004C08EB" w:rsidRDefault="00920E0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C857708" w14:textId="77777777" w:rsidR="00920E02" w:rsidRPr="004C08EB" w:rsidRDefault="00920E0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A3B0A01" w14:textId="77777777" w:rsidR="006F2FCD" w:rsidRDefault="006F2FC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1E58A69" w14:textId="10F64F2D" w:rsidR="00645A95" w:rsidRDefault="008916D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>Συνοπτική Ενοποιημένη Κατάσταση Ταμειακών Ροών</w:t>
      </w:r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1511"/>
        <w:gridCol w:w="1412"/>
      </w:tblGrid>
      <w:tr w:rsidR="0007019D" w:rsidRPr="00F05A0B" w14:paraId="03E37503" w14:textId="77777777" w:rsidTr="00AC5267">
        <w:trPr>
          <w:trHeight w:val="322"/>
        </w:trPr>
        <w:tc>
          <w:tcPr>
            <w:tcW w:w="7139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DA5CC4C" w14:textId="77777777" w:rsidR="0007019D" w:rsidRPr="00F05A0B" w:rsidRDefault="0007019D" w:rsidP="0007019D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F05A0B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F05A0B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F05A0B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r w:rsidRPr="00F05A0B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r w:rsidRPr="00F05A0B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51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6C9B52B4" w14:textId="5D9405ED" w:rsidR="0007019D" w:rsidRPr="00F05A0B" w:rsidRDefault="0007019D" w:rsidP="0007019D">
            <w:pPr>
              <w:spacing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31.03.</w:t>
            </w:r>
            <w:r w:rsidRPr="00F05A0B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Pr="00F05A0B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1412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C0AE17" w14:textId="72954364" w:rsidR="0007019D" w:rsidRPr="00F05A0B" w:rsidRDefault="0007019D" w:rsidP="0007019D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31.03.</w:t>
            </w:r>
            <w:r w:rsidRPr="00F05A0B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Pr="00F05A0B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</w:tr>
      <w:tr w:rsidR="0007019D" w:rsidRPr="00F05A0B" w14:paraId="571FA693" w14:textId="77777777" w:rsidTr="00AC5267">
        <w:trPr>
          <w:trHeight w:hRule="exact" w:val="170"/>
        </w:trPr>
        <w:tc>
          <w:tcPr>
            <w:tcW w:w="7139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80CA099" w14:textId="77777777" w:rsidR="0007019D" w:rsidRPr="00F05A0B" w:rsidRDefault="0007019D" w:rsidP="0007019D">
            <w:pPr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2779E360" w14:textId="77777777" w:rsidR="0007019D" w:rsidRPr="00F05A0B" w:rsidRDefault="0007019D" w:rsidP="0007019D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n-US" w:eastAsia="el-GR"/>
              </w:rPr>
            </w:pPr>
          </w:p>
        </w:tc>
        <w:tc>
          <w:tcPr>
            <w:tcW w:w="1412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14B2E5" w14:textId="77777777" w:rsidR="0007019D" w:rsidRPr="00F05A0B" w:rsidRDefault="0007019D" w:rsidP="0007019D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n-US" w:eastAsia="el-GR"/>
              </w:rPr>
            </w:pPr>
          </w:p>
        </w:tc>
      </w:tr>
      <w:tr w:rsidR="002605EB" w:rsidRPr="00F05A0B" w14:paraId="6780B952" w14:textId="77777777" w:rsidTr="00AC5267">
        <w:trPr>
          <w:trHeight w:val="19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44635C2" w14:textId="77777777" w:rsidR="002605EB" w:rsidRPr="00F05A0B" w:rsidRDefault="002605EB" w:rsidP="002605E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εισροές/ (εκροές) από λειτουργικές δραστηριότητες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43F2" w14:textId="42119AF0" w:rsidR="002605EB" w:rsidRPr="00F05A0B" w:rsidRDefault="002605EB" w:rsidP="002605E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138,6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00671D" w14:textId="15E8697B" w:rsidR="002605EB" w:rsidRPr="00F05A0B" w:rsidRDefault="002605EB" w:rsidP="002605EB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2605E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188,6</w:t>
            </w:r>
          </w:p>
        </w:tc>
      </w:tr>
      <w:tr w:rsidR="002605EB" w:rsidRPr="00F05A0B" w14:paraId="640036B5" w14:textId="77777777" w:rsidTr="00AC5267">
        <w:trPr>
          <w:trHeight w:val="199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0526D4F" w14:textId="77777777" w:rsidR="002605EB" w:rsidRPr="00F05A0B" w:rsidRDefault="002605EB" w:rsidP="002605E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 / (εκροές) από επενδυτικές δραστηριότητες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4678" w14:textId="00B8252F" w:rsidR="002605EB" w:rsidRPr="00F05A0B" w:rsidRDefault="002605EB" w:rsidP="002605E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(3,7)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42A1B" w14:textId="3802C3D0" w:rsidR="002605EB" w:rsidRPr="00F05A0B" w:rsidRDefault="002605EB" w:rsidP="002605EB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2605E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(47,8)</w:t>
            </w:r>
          </w:p>
        </w:tc>
      </w:tr>
      <w:tr w:rsidR="002605EB" w:rsidRPr="00F05A0B" w14:paraId="60775021" w14:textId="77777777" w:rsidTr="00AC5267">
        <w:trPr>
          <w:trHeight w:val="193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73FA2FB" w14:textId="77777777" w:rsidR="002605EB" w:rsidRPr="00F05A0B" w:rsidRDefault="002605EB" w:rsidP="002605E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εισροές/ (εκροές) από χρηματοδοτικές δραστηριότητες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603B" w14:textId="7C7F5BE1" w:rsidR="002605EB" w:rsidRPr="00F05A0B" w:rsidRDefault="002605EB" w:rsidP="002605E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(74,9)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E4AABF" w14:textId="04911644" w:rsidR="002605EB" w:rsidRPr="00F05A0B" w:rsidRDefault="002605EB" w:rsidP="002605EB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2605E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(123,5)</w:t>
            </w:r>
          </w:p>
        </w:tc>
      </w:tr>
      <w:tr w:rsidR="00AC5267" w:rsidRPr="00F05A0B" w14:paraId="0EA35768" w14:textId="77777777" w:rsidTr="00AC5267">
        <w:trPr>
          <w:trHeight w:val="23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C49EDCF" w14:textId="77777777" w:rsidR="00AC5267" w:rsidRPr="00F05A0B" w:rsidRDefault="00AC5267" w:rsidP="00AC5267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Καθαρή αύξηση / (μείωση) στα ταμειακά διαθέσιμα και ισοδύναμα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06A7" w14:textId="12EA4B26" w:rsidR="00AC5267" w:rsidRPr="00F05A0B" w:rsidRDefault="00AC5267" w:rsidP="00AC526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59,9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4CF016" w14:textId="39AF6DA7" w:rsidR="00AC5267" w:rsidRPr="00F05A0B" w:rsidRDefault="00AC5267" w:rsidP="00AC5267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17,</w:t>
            </w:r>
            <w:r w:rsidR="002605E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2</w:t>
            </w:r>
          </w:p>
        </w:tc>
      </w:tr>
      <w:tr w:rsidR="00AC5267" w:rsidRPr="00F05A0B" w14:paraId="7387BF57" w14:textId="77777777" w:rsidTr="00AC5267">
        <w:trPr>
          <w:trHeight w:val="21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B5CFB56" w14:textId="77777777" w:rsidR="00AC5267" w:rsidRPr="00F05A0B" w:rsidRDefault="00AC5267" w:rsidP="00AC5267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Ταμειακά διαθέσιμα και ισοδύναμα στην αρχή της χρήσης</w:t>
            </w:r>
            <w:r w:rsidRPr="00F05A0B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E1D1" w14:textId="7437CE67" w:rsidR="00AC5267" w:rsidRPr="00F05A0B" w:rsidRDefault="00AC5267" w:rsidP="00AC526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527,9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3DE505" w14:textId="33B79DE9" w:rsidR="00AC5267" w:rsidRPr="00F05A0B" w:rsidRDefault="00AC5267" w:rsidP="00AC5267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70</w:t>
            </w:r>
            <w:r w:rsidR="00D87A4A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9</w:t>
            </w: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,3</w:t>
            </w:r>
          </w:p>
        </w:tc>
      </w:tr>
      <w:tr w:rsidR="00AC5267" w:rsidRPr="00F05A0B" w14:paraId="0321BB08" w14:textId="77777777" w:rsidTr="00AC5267">
        <w:trPr>
          <w:trHeight w:val="194"/>
        </w:trPr>
        <w:tc>
          <w:tcPr>
            <w:tcW w:w="7139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9C4543B" w14:textId="77777777" w:rsidR="00AC5267" w:rsidRPr="00F05A0B" w:rsidRDefault="00AC5267" w:rsidP="00AC5267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Επίδραση συναλλαγματικών διαφορών στα ταμειακά διαθέσιμα &amp; ισοδύναμα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bottom"/>
          </w:tcPr>
          <w:p w14:paraId="3BE03D5E" w14:textId="50BD233C" w:rsidR="00AC5267" w:rsidRPr="00F05A0B" w:rsidRDefault="00AC5267" w:rsidP="00AC526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F0223" w14:textId="6F2E81B1" w:rsidR="00AC5267" w:rsidRPr="00F05A0B" w:rsidRDefault="00AC5267" w:rsidP="00AC5267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3,2</w:t>
            </w:r>
          </w:p>
        </w:tc>
      </w:tr>
      <w:tr w:rsidR="00AC5267" w:rsidRPr="00F05A0B" w14:paraId="1592A510" w14:textId="77777777" w:rsidTr="00AC5267">
        <w:trPr>
          <w:trHeight w:val="194"/>
        </w:trPr>
        <w:tc>
          <w:tcPr>
            <w:tcW w:w="713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010CBDE" w14:textId="530ED5B5" w:rsidR="00AC5267" w:rsidRPr="00F05A0B" w:rsidRDefault="00AC5267" w:rsidP="00AC5267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Ταμειακά διαθέσιμα και ισοδύναμα περιουσιακού στοιχείου διακρατούμεν</w:t>
            </w:r>
            <w:r w:rsidRPr="00F05A0B">
              <w:rPr>
                <w:rFonts w:cstheme="minorHAnsi"/>
                <w:color w:val="002677"/>
                <w:sz w:val="22"/>
                <w:szCs w:val="22"/>
                <w:lang w:val="en-US"/>
              </w:rPr>
              <w:t>o</w:t>
            </w:r>
            <w:r w:rsidRPr="00F05A0B">
              <w:rPr>
                <w:rFonts w:cstheme="minorHAnsi"/>
                <w:color w:val="002677"/>
                <w:sz w:val="22"/>
                <w:szCs w:val="22"/>
                <w:lang w:val="el-GR"/>
              </w:rPr>
              <w:t>υ προς πώληση</w:t>
            </w:r>
          </w:p>
        </w:tc>
        <w:tc>
          <w:tcPr>
            <w:tcW w:w="151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bottom"/>
          </w:tcPr>
          <w:p w14:paraId="5F69D2B3" w14:textId="2BC3D2B8" w:rsidR="00AC5267" w:rsidRPr="004062A2" w:rsidRDefault="004062A2" w:rsidP="00AC526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-</w:t>
            </w:r>
          </w:p>
        </w:tc>
        <w:tc>
          <w:tcPr>
            <w:tcW w:w="1412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C4FFB4" w14:textId="33BEB907" w:rsidR="00AC5267" w:rsidRPr="00F05A0B" w:rsidRDefault="00AC5267" w:rsidP="00AC5267">
            <w:pPr>
              <w:jc w:val="center"/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F05A0B">
              <w:rPr>
                <w:rFonts w:eastAsia="Calibri" w:cstheme="minorHAnsi"/>
                <w:color w:val="213368"/>
                <w:kern w:val="24"/>
                <w:sz w:val="22"/>
                <w:szCs w:val="22"/>
                <w:lang w:val="el-GR" w:eastAsia="el-GR"/>
              </w:rPr>
              <w:t>-0,8</w:t>
            </w:r>
          </w:p>
        </w:tc>
      </w:tr>
      <w:tr w:rsidR="00004DA1" w:rsidRPr="001666A9" w14:paraId="46065F90" w14:textId="77777777" w:rsidTr="00221E18">
        <w:trPr>
          <w:trHeight w:val="189"/>
        </w:trPr>
        <w:tc>
          <w:tcPr>
            <w:tcW w:w="713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5D31647" w14:textId="77777777" w:rsidR="00004DA1" w:rsidRPr="00F05A0B" w:rsidRDefault="00004DA1" w:rsidP="00004DA1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F05A0B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Ταμειακά διαθέσιμα και ισοδύναμα στο τέλος της χρήσης</w:t>
            </w:r>
            <w:r w:rsidRPr="00F05A0B">
              <w:rPr>
                <w:rFonts w:cstheme="minorHAnsi"/>
                <w:b/>
                <w:bCs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511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vAlign w:val="center"/>
          </w:tcPr>
          <w:p w14:paraId="7E0A75DC" w14:textId="42D7FB1F" w:rsidR="00004DA1" w:rsidRPr="000B681C" w:rsidRDefault="00004DA1" w:rsidP="00004DA1">
            <w:pPr>
              <w:jc w:val="center"/>
              <w:rPr>
                <w:rFonts w:eastAsia="Calibri" w:cstheme="minorHAnsi"/>
                <w:b/>
                <w:bCs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BA34C9">
              <w:rPr>
                <w:rFonts w:eastAsia="Calibri" w:cstheme="minorHAnsi"/>
                <w:b/>
                <w:bCs/>
                <w:color w:val="002677"/>
                <w:kern w:val="24"/>
                <w:sz w:val="22"/>
                <w:szCs w:val="22"/>
                <w:lang w:val="el-GR" w:eastAsia="el-GR"/>
              </w:rPr>
              <w:t>591,1</w:t>
            </w:r>
          </w:p>
        </w:tc>
        <w:tc>
          <w:tcPr>
            <w:tcW w:w="1412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58717B" w14:textId="604018BC" w:rsidR="00004DA1" w:rsidRPr="000B681C" w:rsidRDefault="00004DA1" w:rsidP="00004DA1">
            <w:pPr>
              <w:jc w:val="center"/>
              <w:rPr>
                <w:rFonts w:eastAsia="Calibri" w:cstheme="minorHAnsi"/>
                <w:b/>
                <w:bCs/>
                <w:color w:val="213368"/>
                <w:kern w:val="24"/>
                <w:sz w:val="22"/>
                <w:szCs w:val="22"/>
                <w:lang w:val="el-GR" w:eastAsia="el-GR"/>
              </w:rPr>
            </w:pPr>
            <w:r w:rsidRPr="002605EB">
              <w:rPr>
                <w:rFonts w:eastAsia="Calibri" w:cstheme="minorHAnsi"/>
                <w:b/>
                <w:bCs/>
                <w:color w:val="002677"/>
                <w:kern w:val="24"/>
                <w:sz w:val="22"/>
                <w:szCs w:val="22"/>
                <w:lang w:val="el-GR" w:eastAsia="el-GR"/>
              </w:rPr>
              <w:t>72</w:t>
            </w:r>
            <w:r w:rsidR="00D87A4A">
              <w:rPr>
                <w:rFonts w:eastAsia="Calibri" w:cstheme="minorHAnsi"/>
                <w:b/>
                <w:bCs/>
                <w:color w:val="002677"/>
                <w:kern w:val="24"/>
                <w:sz w:val="22"/>
                <w:szCs w:val="22"/>
                <w:lang w:val="el-GR" w:eastAsia="el-GR"/>
              </w:rPr>
              <w:t>8</w:t>
            </w:r>
            <w:bookmarkStart w:id="5" w:name="_GoBack"/>
            <w:bookmarkEnd w:id="5"/>
            <w:r w:rsidRPr="002605EB">
              <w:rPr>
                <w:rFonts w:eastAsia="Calibri" w:cstheme="minorHAnsi"/>
                <w:b/>
                <w:bCs/>
                <w:color w:val="002677"/>
                <w:kern w:val="24"/>
                <w:sz w:val="22"/>
                <w:szCs w:val="22"/>
                <w:lang w:val="el-GR" w:eastAsia="el-GR"/>
              </w:rPr>
              <w:t>,9</w:t>
            </w:r>
          </w:p>
        </w:tc>
      </w:tr>
    </w:tbl>
    <w:p w14:paraId="7B5A1B2D" w14:textId="77777777" w:rsidR="006746DE" w:rsidRPr="00D23174" w:rsidRDefault="006746DE" w:rsidP="00471B1D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2AEDFEBC" w14:textId="1E9D7512" w:rsidR="00471B1D" w:rsidRPr="00D23174" w:rsidRDefault="00471B1D" w:rsidP="00471B1D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lang w:val="el-GR"/>
        </w:rPr>
        <w:t xml:space="preserve">Σημείωση: </w:t>
      </w:r>
    </w:p>
    <w:p w14:paraId="0752415A" w14:textId="77777777" w:rsidR="00471B1D" w:rsidRPr="00D23174" w:rsidRDefault="00471B1D" w:rsidP="00471B1D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D23174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D23174">
        <w:rPr>
          <w:rFonts w:cstheme="minorHAnsi"/>
          <w:color w:val="002677"/>
          <w:sz w:val="18"/>
          <w:szCs w:val="18"/>
          <w:lang w:val="el-GR"/>
        </w:rPr>
        <w:t xml:space="preserve"> Περιλαμβάνει δεσμευμένες καταθέσεις και χρηματοοικονομικά περιουσιακά στοιχεία.</w:t>
      </w:r>
    </w:p>
    <w:p w14:paraId="024C1F58" w14:textId="77777777" w:rsidR="00645A95" w:rsidRPr="0074469D" w:rsidRDefault="00645A9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D5B235F" w14:textId="77D5FD40" w:rsidR="00645A95" w:rsidRPr="0074469D" w:rsidRDefault="00645A9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7617151" w14:textId="77777777" w:rsidR="00055167" w:rsidRDefault="00055167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20F858B" w14:textId="77777777" w:rsidR="00551B25" w:rsidRPr="0074469D" w:rsidRDefault="00551B2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3CF19F0" w14:textId="77777777" w:rsidR="006746DE" w:rsidRPr="00B663E3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1759387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2B6F418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3EA99ED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8ABDC6F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68D6776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E9A6E47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24373DD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4085489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32AB209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3A85E52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02BB105" w14:textId="77777777" w:rsidR="002F1094" w:rsidRDefault="002F1094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E9485B3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2BB9EFC" w14:textId="77777777" w:rsidR="006746DE" w:rsidRDefault="006746D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840754C" w14:textId="241E1095" w:rsidR="00313A0E" w:rsidRDefault="00313A0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74469D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>Επιχειρησιακά μεγέθη Ομίλου</w:t>
      </w:r>
    </w:p>
    <w:p w14:paraId="306EE432" w14:textId="77777777" w:rsidR="004062A2" w:rsidRDefault="004062A2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559"/>
        <w:gridCol w:w="1562"/>
        <w:gridCol w:w="851"/>
      </w:tblGrid>
      <w:tr w:rsidR="004062A2" w:rsidRPr="0074469D" w14:paraId="020EF16D" w14:textId="77777777" w:rsidTr="00C706FF">
        <w:trPr>
          <w:trHeight w:val="56"/>
        </w:trPr>
        <w:tc>
          <w:tcPr>
            <w:tcW w:w="6093" w:type="dxa"/>
            <w:tcBorders>
              <w:top w:val="single" w:sz="2" w:space="0" w:color="002677"/>
              <w:left w:val="single" w:sz="2" w:space="0" w:color="002677"/>
              <w:bottom w:val="single" w:sz="2" w:space="0" w:color="002677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79DDAB4" w14:textId="77777777" w:rsidR="004062A2" w:rsidRPr="0074469D" w:rsidRDefault="004062A2" w:rsidP="00C706FF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5DDC17CF" w14:textId="77777777" w:rsidR="004062A2" w:rsidRDefault="004062A2" w:rsidP="00C706FF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5F8A5A08" w14:textId="77777777" w:rsidR="004062A2" w:rsidRPr="00DF216D" w:rsidRDefault="004062A2" w:rsidP="00C706FF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1562" w:type="dxa"/>
            <w:tcBorders>
              <w:top w:val="single" w:sz="2" w:space="0" w:color="002677"/>
              <w:left w:val="nil"/>
              <w:bottom w:val="single" w:sz="2" w:space="0" w:color="002677"/>
              <w:right w:val="nil"/>
            </w:tcBorders>
            <w:shd w:val="clear" w:color="auto" w:fill="002677"/>
            <w:vAlign w:val="center"/>
          </w:tcPr>
          <w:p w14:paraId="59ACCC15" w14:textId="77777777" w:rsidR="004062A2" w:rsidRDefault="004062A2" w:rsidP="00C706FF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551E200A" w14:textId="77777777" w:rsidR="004062A2" w:rsidRPr="0074469D" w:rsidRDefault="004062A2" w:rsidP="00C706FF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4</w:t>
            </w:r>
          </w:p>
        </w:tc>
        <w:tc>
          <w:tcPr>
            <w:tcW w:w="851" w:type="dxa"/>
            <w:tcBorders>
              <w:top w:val="single" w:sz="2" w:space="0" w:color="002677"/>
              <w:left w:val="nil"/>
              <w:bottom w:val="single" w:sz="2" w:space="0" w:color="002677"/>
              <w:right w:val="single" w:sz="2" w:space="0" w:color="002677"/>
            </w:tcBorders>
            <w:shd w:val="clear" w:color="auto" w:fill="002677"/>
            <w:vAlign w:val="center"/>
          </w:tcPr>
          <w:p w14:paraId="7FBFF460" w14:textId="77777777" w:rsidR="004062A2" w:rsidRPr="0074469D" w:rsidRDefault="004062A2" w:rsidP="00C706FF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μτβ</w:t>
            </w:r>
          </w:p>
        </w:tc>
      </w:tr>
      <w:tr w:rsidR="004062A2" w:rsidRPr="0074469D" w14:paraId="425155BB" w14:textId="77777777" w:rsidTr="00C706FF">
        <w:trPr>
          <w:trHeight w:val="35"/>
        </w:trPr>
        <w:tc>
          <w:tcPr>
            <w:tcW w:w="6093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250A177" w14:textId="77777777" w:rsidR="004062A2" w:rsidRPr="0074469D" w:rsidRDefault="004062A2" w:rsidP="00C706FF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Χωρητικότητα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3A4F14EB" w14:textId="77777777" w:rsidR="004062A2" w:rsidRPr="004D4873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1562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6E25F2E" w14:textId="77777777" w:rsidR="004062A2" w:rsidRPr="004D4873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356A1917" w14:textId="77777777" w:rsidR="004062A2" w:rsidRPr="004D4873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</w:tr>
      <w:tr w:rsidR="004062A2" w:rsidRPr="0074469D" w14:paraId="02F1AB9D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552C09F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Χιλιομετρικές Θέσεις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(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σε εκατ.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47DDD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3.340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14D428E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3.751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0F0F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12%</w:t>
            </w:r>
          </w:p>
        </w:tc>
      </w:tr>
      <w:tr w:rsidR="004062A2" w:rsidRPr="0074469D" w14:paraId="0C8FCEF5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C514E93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Διαθέσιμες Θέσεις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2677"/>
                <w:sz w:val="22"/>
                <w:szCs w:val="22"/>
              </w:rPr>
              <w:t>‘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000)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01B26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3.236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45E3EB1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3.549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B1E1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10%</w:t>
            </w:r>
          </w:p>
        </w:tc>
      </w:tr>
      <w:tr w:rsidR="004062A2" w:rsidRPr="0074469D" w14:paraId="0B503625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4035068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Ώρες Πτήσεων (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n-US"/>
              </w:rPr>
              <w:t>Block hours)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54E1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33.782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F34E236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38.306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2917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13%</w:t>
            </w:r>
          </w:p>
        </w:tc>
      </w:tr>
      <w:tr w:rsidR="004062A2" w:rsidRPr="0074469D" w14:paraId="07137833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F39D44D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Πτήσεις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63EB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20.445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30FEEF5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22.675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1CDF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11%</w:t>
            </w:r>
          </w:p>
        </w:tc>
      </w:tr>
      <w:tr w:rsidR="004062A2" w:rsidRPr="00A16FF1" w14:paraId="768D23A7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0F6E032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 Μέσος αριθμός θέσεων ανά πτήση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A03A352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158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289D73BB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B6D98D6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-1%</w:t>
            </w:r>
          </w:p>
        </w:tc>
      </w:tr>
      <w:tr w:rsidR="004062A2" w:rsidRPr="0074469D" w14:paraId="141FF086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F9DBCAC" w14:textId="77777777" w:rsidR="004062A2" w:rsidRPr="00531D85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 Μέση απόσταση πτήσεων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(</w:t>
            </w:r>
            <w:r>
              <w:rPr>
                <w:rFonts w:cstheme="minorHAnsi"/>
                <w:color w:val="002677"/>
                <w:sz w:val="22"/>
                <w:szCs w:val="22"/>
                <w:lang w:val="el-GR"/>
              </w:rPr>
              <w:t>χλμ.)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center"/>
          </w:tcPr>
          <w:p w14:paraId="015BE7D5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EEF1F8"/>
            <w:vAlign w:val="center"/>
          </w:tcPr>
          <w:p w14:paraId="3DD98596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center"/>
          </w:tcPr>
          <w:p w14:paraId="5CE68F9A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3%</w:t>
            </w:r>
          </w:p>
        </w:tc>
      </w:tr>
      <w:tr w:rsidR="004062A2" w:rsidRPr="0074469D" w14:paraId="1D738D71" w14:textId="77777777" w:rsidTr="00C706FF">
        <w:trPr>
          <w:trHeight w:val="62"/>
        </w:trPr>
        <w:tc>
          <w:tcPr>
            <w:tcW w:w="6093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85AF589" w14:textId="77777777" w:rsidR="004062A2" w:rsidRPr="0074469D" w:rsidRDefault="004062A2" w:rsidP="00C706FF">
            <w:pPr>
              <w:rPr>
                <w:rFonts w:cstheme="minorHAnsi"/>
                <w:b/>
                <w:bCs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Επιβάτες</w:t>
            </w: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</w:rPr>
              <w:t xml:space="preserve"> (</w:t>
            </w: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΄</w:t>
            </w:r>
            <w:r w:rsidRPr="0074469D">
              <w:rPr>
                <w:rFonts w:cstheme="minorHAnsi"/>
                <w:b/>
                <w:bCs/>
                <w:color w:val="002677"/>
                <w:sz w:val="22"/>
                <w:szCs w:val="22"/>
              </w:rPr>
              <w:t>000)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448A4CBB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1562" w:type="dxa"/>
            <w:tcBorders>
              <w:top w:val="single" w:sz="2" w:space="0" w:color="002677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8AE721C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002677"/>
              <w:left w:val="nil"/>
              <w:bottom w:val="nil"/>
              <w:right w:val="nil"/>
            </w:tcBorders>
            <w:vAlign w:val="center"/>
          </w:tcPr>
          <w:p w14:paraId="275C5D49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</w:tr>
      <w:tr w:rsidR="004062A2" w:rsidRPr="0074469D" w14:paraId="0B1BFF4C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505EC4F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Ανά είδος πτήσεων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7EBE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4D63C87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EA79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</w:tr>
      <w:tr w:rsidR="004062A2" w:rsidRPr="0074469D" w14:paraId="294CF512" w14:textId="77777777" w:rsidTr="00C706FF">
        <w:trPr>
          <w:trHeight w:val="57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C1DCA32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n-US"/>
              </w:rPr>
              <w:t xml:space="preserve">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Επιβάτες Τακτικών πτήσεων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B3DC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2.565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D1AD4A3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69A0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10%</w:t>
            </w:r>
          </w:p>
        </w:tc>
      </w:tr>
      <w:tr w:rsidR="004062A2" w:rsidRPr="0074469D" w14:paraId="5A903E89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8627422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Επιβάτες Ναυλωμένων πτήσεων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DF7E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343C5E1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322A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50%</w:t>
            </w:r>
          </w:p>
        </w:tc>
      </w:tr>
      <w:tr w:rsidR="004062A2" w:rsidRPr="0074469D" w14:paraId="4AC1C8D3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ABC0055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Ανά δίκτυο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B2AA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D841247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0490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</w:p>
        </w:tc>
      </w:tr>
      <w:tr w:rsidR="004062A2" w:rsidRPr="0074469D" w14:paraId="7B6CA0BB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7422F8E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Δίκτυο Εσωτερικού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1974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1.028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40839D4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1.142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46D1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11%</w:t>
            </w:r>
          </w:p>
        </w:tc>
      </w:tr>
      <w:tr w:rsidR="004062A2" w:rsidRPr="0074469D" w14:paraId="797CDDF5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15F19DA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>Δίκτυο Εξωτερικού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086F73AD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1.553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36B55F28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1.714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7105AEB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10%</w:t>
            </w:r>
          </w:p>
        </w:tc>
      </w:tr>
      <w:tr w:rsidR="004062A2" w:rsidRPr="0074469D" w14:paraId="53D3F3CC" w14:textId="77777777" w:rsidTr="00C706FF">
        <w:trPr>
          <w:trHeight w:val="35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65BF21F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Σύνολο επιβατών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0645B50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2.581</w:t>
            </w: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350FF3EA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2.856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00D2868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11%</w:t>
            </w:r>
          </w:p>
        </w:tc>
      </w:tr>
      <w:tr w:rsidR="004062A2" w:rsidRPr="00A16FF1" w14:paraId="6323A2F9" w14:textId="77777777" w:rsidTr="00C706FF">
        <w:trPr>
          <w:trHeight w:val="35"/>
        </w:trPr>
        <w:tc>
          <w:tcPr>
            <w:tcW w:w="6093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53CC708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Χιλιομετρικοί επιβάτες </w:t>
            </w:r>
            <w:r w:rsidRPr="0074469D">
              <w:rPr>
                <w:rFonts w:cstheme="minorHAnsi"/>
                <w:color w:val="002677"/>
                <w:sz w:val="22"/>
                <w:szCs w:val="22"/>
              </w:rPr>
              <w:t>RPKs</w:t>
            </w:r>
            <w:r w:rsidRPr="0074469D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(σε εκατ.)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7AC434B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2.715</w:t>
            </w: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769E4F5D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3.056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25788B0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13%</w:t>
            </w:r>
          </w:p>
        </w:tc>
      </w:tr>
      <w:tr w:rsidR="004062A2" w:rsidRPr="00A16FF1" w14:paraId="52CD0CD0" w14:textId="77777777" w:rsidTr="00C706FF">
        <w:trPr>
          <w:trHeight w:val="35"/>
        </w:trPr>
        <w:tc>
          <w:tcPr>
            <w:tcW w:w="6093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9301EE5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Μέσος αριθμός επιβατών ανά πτήση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center"/>
          </w:tcPr>
          <w:p w14:paraId="761E1B5E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002677"/>
              <w:right w:val="nil"/>
            </w:tcBorders>
            <w:shd w:val="clear" w:color="auto" w:fill="EEF1F8"/>
            <w:vAlign w:val="center"/>
          </w:tcPr>
          <w:p w14:paraId="7C0CDFBA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2677"/>
              <w:right w:val="nil"/>
            </w:tcBorders>
            <w:vAlign w:val="center"/>
          </w:tcPr>
          <w:p w14:paraId="14EFE912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0%</w:t>
            </w:r>
          </w:p>
        </w:tc>
      </w:tr>
      <w:tr w:rsidR="004062A2" w:rsidRPr="00A16FF1" w14:paraId="4DD25F58" w14:textId="77777777" w:rsidTr="00C706FF">
        <w:trPr>
          <w:trHeight w:val="631"/>
        </w:trPr>
        <w:tc>
          <w:tcPr>
            <w:tcW w:w="6093" w:type="dxa"/>
            <w:tcBorders>
              <w:top w:val="single" w:sz="2" w:space="0" w:color="002677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F716706" w14:textId="77777777" w:rsidR="004062A2" w:rsidRDefault="004062A2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Πληρότητας-</w:t>
            </w:r>
            <w:r w:rsidRPr="00531D8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Τακτικές Πτήσεις</w:t>
            </w:r>
          </w:p>
          <w:p w14:paraId="5C8A1464" w14:textId="77777777" w:rsidR="004062A2" w:rsidRPr="0074469D" w:rsidRDefault="004062A2" w:rsidP="00C706FF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(Επιβάτες/Διαθέσιμες Θέσεις)</w:t>
            </w:r>
          </w:p>
        </w:tc>
        <w:tc>
          <w:tcPr>
            <w:tcW w:w="1559" w:type="dxa"/>
            <w:tcBorders>
              <w:top w:val="single" w:sz="2" w:space="0" w:color="002677"/>
              <w:left w:val="nil"/>
              <w:right w:val="nil"/>
            </w:tcBorders>
            <w:vAlign w:val="center"/>
          </w:tcPr>
          <w:p w14:paraId="383D178C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80,0%</w:t>
            </w:r>
          </w:p>
        </w:tc>
        <w:tc>
          <w:tcPr>
            <w:tcW w:w="1562" w:type="dxa"/>
            <w:tcBorders>
              <w:top w:val="single" w:sz="2" w:space="0" w:color="002677"/>
              <w:left w:val="nil"/>
              <w:right w:val="nil"/>
            </w:tcBorders>
            <w:shd w:val="clear" w:color="auto" w:fill="EEF1F8"/>
            <w:vAlign w:val="center"/>
          </w:tcPr>
          <w:p w14:paraId="1ABD19D2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80,6%</w:t>
            </w:r>
          </w:p>
        </w:tc>
        <w:tc>
          <w:tcPr>
            <w:tcW w:w="851" w:type="dxa"/>
            <w:tcBorders>
              <w:top w:val="single" w:sz="2" w:space="0" w:color="002677"/>
              <w:left w:val="nil"/>
              <w:right w:val="nil"/>
            </w:tcBorders>
            <w:vAlign w:val="center"/>
          </w:tcPr>
          <w:p w14:paraId="63945D76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0,6pp</w:t>
            </w:r>
          </w:p>
        </w:tc>
      </w:tr>
      <w:tr w:rsidR="004062A2" w:rsidRPr="00A16FF1" w14:paraId="5789AF08" w14:textId="77777777" w:rsidTr="00C706FF">
        <w:trPr>
          <w:trHeight w:val="35"/>
        </w:trPr>
        <w:tc>
          <w:tcPr>
            <w:tcW w:w="6093" w:type="dxa"/>
            <w:tcBorders>
              <w:left w:val="nil"/>
              <w:bottom w:val="single" w:sz="2" w:space="0" w:color="002677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AA086E4" w14:textId="77777777" w:rsidR="004062A2" w:rsidRDefault="004062A2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Πληρότητας- Τακτικές πτήσεις</w:t>
            </w:r>
          </w:p>
          <w:p w14:paraId="1B639D17" w14:textId="77777777" w:rsidR="004062A2" w:rsidRPr="00531D85" w:rsidRDefault="004062A2" w:rsidP="00C706FF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(Χιλιομετρικοί επιβάτες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RPK</w:t>
            </w:r>
            <w:r w:rsidRPr="00531D8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/ Χιλιομετρικές Θέσεις </w:t>
            </w:r>
            <w:r w:rsidRPr="0074469D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ASK</w:t>
            </w:r>
            <w:r w:rsidRPr="00531D85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578E410A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81,6%</w:t>
            </w:r>
          </w:p>
        </w:tc>
        <w:tc>
          <w:tcPr>
            <w:tcW w:w="1562" w:type="dxa"/>
            <w:tcBorders>
              <w:left w:val="nil"/>
              <w:bottom w:val="single" w:sz="2" w:space="0" w:color="002677"/>
              <w:right w:val="nil"/>
            </w:tcBorders>
            <w:shd w:val="clear" w:color="auto" w:fill="EEF1F8"/>
            <w:vAlign w:val="center"/>
          </w:tcPr>
          <w:p w14:paraId="0761F3A1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81,7%</w:t>
            </w:r>
          </w:p>
        </w:tc>
        <w:tc>
          <w:tcPr>
            <w:tcW w:w="851" w:type="dxa"/>
            <w:tcBorders>
              <w:left w:val="nil"/>
              <w:bottom w:val="single" w:sz="2" w:space="0" w:color="002677"/>
              <w:right w:val="nil"/>
            </w:tcBorders>
            <w:vAlign w:val="center"/>
          </w:tcPr>
          <w:p w14:paraId="53CC168B" w14:textId="77777777" w:rsidR="004062A2" w:rsidRPr="00242448" w:rsidRDefault="004062A2" w:rsidP="00C706FF">
            <w:pPr>
              <w:jc w:val="center"/>
              <w:textAlignment w:val="bottom"/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</w:pPr>
            <w:r w:rsidRPr="00463467">
              <w:rPr>
                <w:rFonts w:ascii="Calibri" w:eastAsia="Times New Roman" w:hAnsi="Calibri" w:cs="Calibri"/>
                <w:color w:val="243587"/>
                <w:sz w:val="22"/>
                <w:szCs w:val="22"/>
                <w:lang w:eastAsia="el-GR"/>
              </w:rPr>
              <w:t>0,1pp</w:t>
            </w:r>
          </w:p>
        </w:tc>
      </w:tr>
    </w:tbl>
    <w:p w14:paraId="5EAD48E4" w14:textId="38D2398E" w:rsidR="004062A2" w:rsidRDefault="004062A2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3F6D78C" w14:textId="77777777" w:rsidR="004062A2" w:rsidRPr="0074469D" w:rsidRDefault="004062A2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552A3C4" w14:textId="77777777" w:rsidR="006746DE" w:rsidRPr="0074469D" w:rsidRDefault="006746DE" w:rsidP="006746DE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26DF1DEE" w14:textId="77777777" w:rsidR="003C24C7" w:rsidRPr="0074469D" w:rsidRDefault="003C24C7" w:rsidP="006746DE">
      <w:pPr>
        <w:spacing w:after="120"/>
        <w:jc w:val="both"/>
        <w:rPr>
          <w:rFonts w:cstheme="minorHAnsi"/>
          <w:color w:val="002677"/>
          <w:sz w:val="22"/>
          <w:szCs w:val="22"/>
          <w:lang w:val="el-GR"/>
        </w:rPr>
      </w:pPr>
    </w:p>
    <w:sectPr w:rsidR="003C24C7" w:rsidRPr="0074469D" w:rsidSect="00355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969" w:right="851" w:bottom="567" w:left="851" w:header="851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0C04" w14:textId="77777777" w:rsidR="00184FE7" w:rsidRDefault="00184FE7" w:rsidP="003C1020">
      <w:r>
        <w:separator/>
      </w:r>
    </w:p>
  </w:endnote>
  <w:endnote w:type="continuationSeparator" w:id="0">
    <w:p w14:paraId="186C08E7" w14:textId="77777777" w:rsidR="00184FE7" w:rsidRDefault="00184FE7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5E30" w14:textId="77777777" w:rsidR="00F56B65" w:rsidRDefault="00F56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AD16" w14:textId="77777777" w:rsidR="00F56B65" w:rsidRDefault="00F56B65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</w:p>
  <w:p w14:paraId="33ECFDB5" w14:textId="77777777" w:rsidR="00F56B65" w:rsidRPr="006622B2" w:rsidRDefault="00F56B65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</w:rPr>
      <w:drawing>
        <wp:inline distT="0" distB="0" distL="0" distR="0" wp14:anchorId="1276AF4A" wp14:editId="0AFC8FF0">
          <wp:extent cx="6475730" cy="44649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4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6F0F" w14:textId="77777777" w:rsidR="00F56B65" w:rsidRDefault="00F56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36C8" w14:textId="77777777" w:rsidR="00184FE7" w:rsidRDefault="00184FE7" w:rsidP="003C1020">
      <w:r>
        <w:separator/>
      </w:r>
    </w:p>
  </w:footnote>
  <w:footnote w:type="continuationSeparator" w:id="0">
    <w:p w14:paraId="03B817AB" w14:textId="77777777" w:rsidR="00184FE7" w:rsidRDefault="00184FE7" w:rsidP="003C1020">
      <w:r>
        <w:continuationSeparator/>
      </w:r>
    </w:p>
  </w:footnote>
  <w:footnote w:id="1">
    <w:p w14:paraId="224D9D69" w14:textId="620D5A30" w:rsidR="00F56B65" w:rsidRPr="006D5ED0" w:rsidRDefault="00F56B65" w:rsidP="00C51222">
      <w:pPr>
        <w:pStyle w:val="AegeanNormal"/>
        <w:spacing w:after="0" w:line="240" w:lineRule="auto"/>
        <w:rPr>
          <w:sz w:val="16"/>
          <w:szCs w:val="14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4"/>
        </w:rPr>
        <w:t>Περιλαμβάνει χρηματοοικονομικές επενδύσεις ύψους €</w:t>
      </w:r>
      <w:bookmarkStart w:id="3" w:name="_Hlk167399255"/>
      <w:r w:rsidR="00B6428E" w:rsidRPr="00B6428E">
        <w:rPr>
          <w:sz w:val="16"/>
          <w:szCs w:val="14"/>
        </w:rPr>
        <w:t>11</w:t>
      </w:r>
      <w:r w:rsidR="00D87A4A">
        <w:rPr>
          <w:sz w:val="16"/>
          <w:szCs w:val="14"/>
        </w:rPr>
        <w:t>3</w:t>
      </w:r>
      <w:r>
        <w:rPr>
          <w:sz w:val="16"/>
          <w:szCs w:val="14"/>
        </w:rPr>
        <w:t>,</w:t>
      </w:r>
      <w:r w:rsidR="00B6428E" w:rsidRPr="00B6428E">
        <w:rPr>
          <w:sz w:val="16"/>
          <w:szCs w:val="14"/>
        </w:rPr>
        <w:t>8</w:t>
      </w:r>
      <w:r>
        <w:rPr>
          <w:sz w:val="16"/>
          <w:szCs w:val="14"/>
        </w:rPr>
        <w:t xml:space="preserve"> </w:t>
      </w:r>
      <w:bookmarkEnd w:id="3"/>
      <w:r>
        <w:rPr>
          <w:sz w:val="16"/>
          <w:szCs w:val="14"/>
        </w:rPr>
        <w:t>εκατ. και δεσμευμένες καταθέσεις €0,5 εκατ.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F9C3" w14:textId="77777777" w:rsidR="00F56B65" w:rsidRDefault="00F5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7DE7" w14:textId="77777777" w:rsidR="00F56B65" w:rsidRPr="00DE4577" w:rsidRDefault="00F56B65">
    <w:pPr>
      <w:pStyle w:val="Header"/>
    </w:pPr>
    <w:r>
      <w:rPr>
        <w:noProof/>
        <w:lang w:val="el-GR" w:eastAsia="el-GR"/>
      </w:rPr>
      <w:drawing>
        <wp:inline distT="0" distB="0" distL="0" distR="0" wp14:anchorId="69327C8C" wp14:editId="50E0E63E">
          <wp:extent cx="6362835" cy="358775"/>
          <wp:effectExtent l="0" t="0" r="0" b="317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078" cy="3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AEC0" w14:textId="77777777" w:rsidR="00F56B65" w:rsidRDefault="00F56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072"/>
    <w:multiLevelType w:val="hybridMultilevel"/>
    <w:tmpl w:val="7632C06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8C2E84"/>
    <w:multiLevelType w:val="hybridMultilevel"/>
    <w:tmpl w:val="011CCAEA"/>
    <w:lvl w:ilvl="0" w:tplc="F6A0F3E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2D5D"/>
    <w:multiLevelType w:val="hybridMultilevel"/>
    <w:tmpl w:val="B806605C"/>
    <w:lvl w:ilvl="0" w:tplc="18585AB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0"/>
    <w:rsid w:val="0000193B"/>
    <w:rsid w:val="00004DA1"/>
    <w:rsid w:val="00006041"/>
    <w:rsid w:val="000077AD"/>
    <w:rsid w:val="00010195"/>
    <w:rsid w:val="00012A94"/>
    <w:rsid w:val="0001531C"/>
    <w:rsid w:val="000162E1"/>
    <w:rsid w:val="00017A3C"/>
    <w:rsid w:val="00017C79"/>
    <w:rsid w:val="0002037A"/>
    <w:rsid w:val="0002093A"/>
    <w:rsid w:val="00020B58"/>
    <w:rsid w:val="000268AA"/>
    <w:rsid w:val="00030AF5"/>
    <w:rsid w:val="000319E5"/>
    <w:rsid w:val="000350BC"/>
    <w:rsid w:val="00037454"/>
    <w:rsid w:val="00041224"/>
    <w:rsid w:val="00041A13"/>
    <w:rsid w:val="00045C1F"/>
    <w:rsid w:val="00055167"/>
    <w:rsid w:val="00060B68"/>
    <w:rsid w:val="0006215E"/>
    <w:rsid w:val="000625B4"/>
    <w:rsid w:val="00067C83"/>
    <w:rsid w:val="0007019D"/>
    <w:rsid w:val="00076DE9"/>
    <w:rsid w:val="00077525"/>
    <w:rsid w:val="00087916"/>
    <w:rsid w:val="00091CA7"/>
    <w:rsid w:val="00093401"/>
    <w:rsid w:val="00094DBC"/>
    <w:rsid w:val="000A0C2F"/>
    <w:rsid w:val="000A191F"/>
    <w:rsid w:val="000B094A"/>
    <w:rsid w:val="000B681C"/>
    <w:rsid w:val="000C422F"/>
    <w:rsid w:val="000D4123"/>
    <w:rsid w:val="000D51CF"/>
    <w:rsid w:val="000D52B3"/>
    <w:rsid w:val="000D53EA"/>
    <w:rsid w:val="000E1CD6"/>
    <w:rsid w:val="000E2DCA"/>
    <w:rsid w:val="000E31D5"/>
    <w:rsid w:val="000E6AEA"/>
    <w:rsid w:val="0010722D"/>
    <w:rsid w:val="0010745C"/>
    <w:rsid w:val="00112C52"/>
    <w:rsid w:val="00113D88"/>
    <w:rsid w:val="00117938"/>
    <w:rsid w:val="001223BB"/>
    <w:rsid w:val="00123F7E"/>
    <w:rsid w:val="001303D0"/>
    <w:rsid w:val="001421D0"/>
    <w:rsid w:val="00143D94"/>
    <w:rsid w:val="00144A82"/>
    <w:rsid w:val="001530F3"/>
    <w:rsid w:val="001652A8"/>
    <w:rsid w:val="00175CDE"/>
    <w:rsid w:val="00176238"/>
    <w:rsid w:val="00176B11"/>
    <w:rsid w:val="00181D09"/>
    <w:rsid w:val="001827C8"/>
    <w:rsid w:val="001848C4"/>
    <w:rsid w:val="00184FE7"/>
    <w:rsid w:val="00193535"/>
    <w:rsid w:val="00193C46"/>
    <w:rsid w:val="001A327E"/>
    <w:rsid w:val="001A46AF"/>
    <w:rsid w:val="001B1BDA"/>
    <w:rsid w:val="001B3A72"/>
    <w:rsid w:val="001B3C35"/>
    <w:rsid w:val="001B6B5B"/>
    <w:rsid w:val="001C26FD"/>
    <w:rsid w:val="001C3CF2"/>
    <w:rsid w:val="001C54D4"/>
    <w:rsid w:val="001D169F"/>
    <w:rsid w:val="001D3CCC"/>
    <w:rsid w:val="001D443F"/>
    <w:rsid w:val="001E2CD7"/>
    <w:rsid w:val="001E3859"/>
    <w:rsid w:val="001E6228"/>
    <w:rsid w:val="001E6AFD"/>
    <w:rsid w:val="001F6C1D"/>
    <w:rsid w:val="00200CF7"/>
    <w:rsid w:val="00201F84"/>
    <w:rsid w:val="00211A6F"/>
    <w:rsid w:val="00220586"/>
    <w:rsid w:val="00220C18"/>
    <w:rsid w:val="00226DD7"/>
    <w:rsid w:val="00232ACD"/>
    <w:rsid w:val="00241DA2"/>
    <w:rsid w:val="00241FB8"/>
    <w:rsid w:val="00242448"/>
    <w:rsid w:val="002456D8"/>
    <w:rsid w:val="002522A6"/>
    <w:rsid w:val="00256282"/>
    <w:rsid w:val="002575B4"/>
    <w:rsid w:val="002605EB"/>
    <w:rsid w:val="00272D02"/>
    <w:rsid w:val="00274703"/>
    <w:rsid w:val="00275583"/>
    <w:rsid w:val="002801B4"/>
    <w:rsid w:val="00283C5A"/>
    <w:rsid w:val="002938A6"/>
    <w:rsid w:val="00297CE8"/>
    <w:rsid w:val="002A6638"/>
    <w:rsid w:val="002A75E4"/>
    <w:rsid w:val="002B0AAA"/>
    <w:rsid w:val="002B728D"/>
    <w:rsid w:val="002C57CB"/>
    <w:rsid w:val="002C73F8"/>
    <w:rsid w:val="002D1A5A"/>
    <w:rsid w:val="002D1D51"/>
    <w:rsid w:val="002D4019"/>
    <w:rsid w:val="002D4C42"/>
    <w:rsid w:val="002D4E3A"/>
    <w:rsid w:val="002D7A54"/>
    <w:rsid w:val="002E037E"/>
    <w:rsid w:val="002E1D99"/>
    <w:rsid w:val="002E3D8C"/>
    <w:rsid w:val="002E4F03"/>
    <w:rsid w:val="002F1094"/>
    <w:rsid w:val="00306859"/>
    <w:rsid w:val="00313A0E"/>
    <w:rsid w:val="00314046"/>
    <w:rsid w:val="003202E3"/>
    <w:rsid w:val="003238BA"/>
    <w:rsid w:val="00325992"/>
    <w:rsid w:val="00327820"/>
    <w:rsid w:val="003375FE"/>
    <w:rsid w:val="00337F9E"/>
    <w:rsid w:val="003403C6"/>
    <w:rsid w:val="003418BF"/>
    <w:rsid w:val="0034353F"/>
    <w:rsid w:val="003475CE"/>
    <w:rsid w:val="00353081"/>
    <w:rsid w:val="003543DB"/>
    <w:rsid w:val="00355AFD"/>
    <w:rsid w:val="00355FBE"/>
    <w:rsid w:val="00357A5F"/>
    <w:rsid w:val="00361983"/>
    <w:rsid w:val="00365368"/>
    <w:rsid w:val="0036762A"/>
    <w:rsid w:val="0038442D"/>
    <w:rsid w:val="0038744B"/>
    <w:rsid w:val="00396F96"/>
    <w:rsid w:val="003A0074"/>
    <w:rsid w:val="003A2F8D"/>
    <w:rsid w:val="003A52DD"/>
    <w:rsid w:val="003A6F76"/>
    <w:rsid w:val="003B024D"/>
    <w:rsid w:val="003B0B52"/>
    <w:rsid w:val="003B55BB"/>
    <w:rsid w:val="003B5E1F"/>
    <w:rsid w:val="003B7585"/>
    <w:rsid w:val="003C1020"/>
    <w:rsid w:val="003C24C7"/>
    <w:rsid w:val="003D0AD7"/>
    <w:rsid w:val="003D1A72"/>
    <w:rsid w:val="003D220E"/>
    <w:rsid w:val="003D5F18"/>
    <w:rsid w:val="003D6417"/>
    <w:rsid w:val="003D7717"/>
    <w:rsid w:val="003E319E"/>
    <w:rsid w:val="003E54FA"/>
    <w:rsid w:val="003F1044"/>
    <w:rsid w:val="003F2BC8"/>
    <w:rsid w:val="003F3368"/>
    <w:rsid w:val="003F461C"/>
    <w:rsid w:val="003F5664"/>
    <w:rsid w:val="00401AA6"/>
    <w:rsid w:val="00405119"/>
    <w:rsid w:val="004062A2"/>
    <w:rsid w:val="00407E90"/>
    <w:rsid w:val="0041085B"/>
    <w:rsid w:val="00411B2D"/>
    <w:rsid w:val="00411D41"/>
    <w:rsid w:val="004131AA"/>
    <w:rsid w:val="004263E8"/>
    <w:rsid w:val="0042712E"/>
    <w:rsid w:val="00430958"/>
    <w:rsid w:val="00432711"/>
    <w:rsid w:val="0043735E"/>
    <w:rsid w:val="00446C10"/>
    <w:rsid w:val="00447184"/>
    <w:rsid w:val="0045585B"/>
    <w:rsid w:val="00455E8E"/>
    <w:rsid w:val="004614EE"/>
    <w:rsid w:val="00467327"/>
    <w:rsid w:val="00467E3D"/>
    <w:rsid w:val="004707A2"/>
    <w:rsid w:val="00471865"/>
    <w:rsid w:val="00471B1D"/>
    <w:rsid w:val="00472C98"/>
    <w:rsid w:val="00473602"/>
    <w:rsid w:val="004807FF"/>
    <w:rsid w:val="00481A27"/>
    <w:rsid w:val="0049636B"/>
    <w:rsid w:val="00497CE3"/>
    <w:rsid w:val="004A01C8"/>
    <w:rsid w:val="004B3712"/>
    <w:rsid w:val="004B3765"/>
    <w:rsid w:val="004B3D15"/>
    <w:rsid w:val="004C06C6"/>
    <w:rsid w:val="004C08EB"/>
    <w:rsid w:val="004C151D"/>
    <w:rsid w:val="004C1B25"/>
    <w:rsid w:val="004C4EBC"/>
    <w:rsid w:val="004D0409"/>
    <w:rsid w:val="004D0CD6"/>
    <w:rsid w:val="004D1437"/>
    <w:rsid w:val="004D4873"/>
    <w:rsid w:val="004E1523"/>
    <w:rsid w:val="004E5A6D"/>
    <w:rsid w:val="004E6719"/>
    <w:rsid w:val="004E6863"/>
    <w:rsid w:val="004E70B0"/>
    <w:rsid w:val="004F5D1B"/>
    <w:rsid w:val="004F7282"/>
    <w:rsid w:val="005007B3"/>
    <w:rsid w:val="0050202B"/>
    <w:rsid w:val="0050342D"/>
    <w:rsid w:val="005051D9"/>
    <w:rsid w:val="0051409D"/>
    <w:rsid w:val="005146CE"/>
    <w:rsid w:val="00514B2F"/>
    <w:rsid w:val="00520FE4"/>
    <w:rsid w:val="00531D85"/>
    <w:rsid w:val="00542E69"/>
    <w:rsid w:val="005504CC"/>
    <w:rsid w:val="00551B25"/>
    <w:rsid w:val="00554DEB"/>
    <w:rsid w:val="00565DFE"/>
    <w:rsid w:val="00570750"/>
    <w:rsid w:val="00572238"/>
    <w:rsid w:val="005848B1"/>
    <w:rsid w:val="00586584"/>
    <w:rsid w:val="005946BC"/>
    <w:rsid w:val="005A17F7"/>
    <w:rsid w:val="005A41BC"/>
    <w:rsid w:val="005B1A13"/>
    <w:rsid w:val="005B2318"/>
    <w:rsid w:val="005B6A6A"/>
    <w:rsid w:val="005C01EE"/>
    <w:rsid w:val="005C3499"/>
    <w:rsid w:val="005C4EEF"/>
    <w:rsid w:val="005D37B3"/>
    <w:rsid w:val="005D4803"/>
    <w:rsid w:val="005E5506"/>
    <w:rsid w:val="005E615D"/>
    <w:rsid w:val="005E6168"/>
    <w:rsid w:val="005F38D3"/>
    <w:rsid w:val="005F7F27"/>
    <w:rsid w:val="0060685E"/>
    <w:rsid w:val="00624576"/>
    <w:rsid w:val="006261D0"/>
    <w:rsid w:val="0063409D"/>
    <w:rsid w:val="006413F3"/>
    <w:rsid w:val="006449F7"/>
    <w:rsid w:val="00645A95"/>
    <w:rsid w:val="00650B8E"/>
    <w:rsid w:val="006564E4"/>
    <w:rsid w:val="006622B2"/>
    <w:rsid w:val="006675E0"/>
    <w:rsid w:val="0067049F"/>
    <w:rsid w:val="00673860"/>
    <w:rsid w:val="006740C2"/>
    <w:rsid w:val="006746DE"/>
    <w:rsid w:val="00676DB2"/>
    <w:rsid w:val="00682950"/>
    <w:rsid w:val="006873CB"/>
    <w:rsid w:val="00691585"/>
    <w:rsid w:val="006A051A"/>
    <w:rsid w:val="006B2B46"/>
    <w:rsid w:val="006B3926"/>
    <w:rsid w:val="006B546A"/>
    <w:rsid w:val="006C213D"/>
    <w:rsid w:val="006E0F18"/>
    <w:rsid w:val="006E33F8"/>
    <w:rsid w:val="006E7F1C"/>
    <w:rsid w:val="006F2FCD"/>
    <w:rsid w:val="006F372A"/>
    <w:rsid w:val="006F5492"/>
    <w:rsid w:val="006F56E4"/>
    <w:rsid w:val="00707FE5"/>
    <w:rsid w:val="007154A1"/>
    <w:rsid w:val="00715C52"/>
    <w:rsid w:val="00716617"/>
    <w:rsid w:val="00717343"/>
    <w:rsid w:val="00721BBB"/>
    <w:rsid w:val="00721EB7"/>
    <w:rsid w:val="00731F15"/>
    <w:rsid w:val="00733CCA"/>
    <w:rsid w:val="00744032"/>
    <w:rsid w:val="0074469D"/>
    <w:rsid w:val="00756F62"/>
    <w:rsid w:val="007571E1"/>
    <w:rsid w:val="007579E6"/>
    <w:rsid w:val="00757C5C"/>
    <w:rsid w:val="00761959"/>
    <w:rsid w:val="007649AB"/>
    <w:rsid w:val="00764DBA"/>
    <w:rsid w:val="007737E0"/>
    <w:rsid w:val="00780A47"/>
    <w:rsid w:val="00783066"/>
    <w:rsid w:val="00795B4B"/>
    <w:rsid w:val="00795E0B"/>
    <w:rsid w:val="007A3C9D"/>
    <w:rsid w:val="007A56BF"/>
    <w:rsid w:val="007A5872"/>
    <w:rsid w:val="007A6EF3"/>
    <w:rsid w:val="007A7260"/>
    <w:rsid w:val="007B2EEC"/>
    <w:rsid w:val="007B31FE"/>
    <w:rsid w:val="007C18C4"/>
    <w:rsid w:val="007D16A4"/>
    <w:rsid w:val="007D27FA"/>
    <w:rsid w:val="007D503D"/>
    <w:rsid w:val="007D7614"/>
    <w:rsid w:val="007E4E27"/>
    <w:rsid w:val="007E63C0"/>
    <w:rsid w:val="007E6EE4"/>
    <w:rsid w:val="007F0FA2"/>
    <w:rsid w:val="007F410B"/>
    <w:rsid w:val="007F6EB9"/>
    <w:rsid w:val="00801B19"/>
    <w:rsid w:val="00804CB4"/>
    <w:rsid w:val="0080512F"/>
    <w:rsid w:val="008231DB"/>
    <w:rsid w:val="008237C5"/>
    <w:rsid w:val="00823A98"/>
    <w:rsid w:val="00825A30"/>
    <w:rsid w:val="0082623F"/>
    <w:rsid w:val="00826CE7"/>
    <w:rsid w:val="008314EF"/>
    <w:rsid w:val="00836014"/>
    <w:rsid w:val="008422A5"/>
    <w:rsid w:val="008451AE"/>
    <w:rsid w:val="00846635"/>
    <w:rsid w:val="00856306"/>
    <w:rsid w:val="008564BD"/>
    <w:rsid w:val="008837F2"/>
    <w:rsid w:val="008848AD"/>
    <w:rsid w:val="00884FEB"/>
    <w:rsid w:val="008916D0"/>
    <w:rsid w:val="00893CFF"/>
    <w:rsid w:val="008B5F38"/>
    <w:rsid w:val="008C032D"/>
    <w:rsid w:val="008C1887"/>
    <w:rsid w:val="008E0D3E"/>
    <w:rsid w:val="008E4735"/>
    <w:rsid w:val="008F267C"/>
    <w:rsid w:val="00901568"/>
    <w:rsid w:val="00901D4C"/>
    <w:rsid w:val="00902456"/>
    <w:rsid w:val="00903544"/>
    <w:rsid w:val="00904D82"/>
    <w:rsid w:val="00916E77"/>
    <w:rsid w:val="00917320"/>
    <w:rsid w:val="00920E02"/>
    <w:rsid w:val="00922A37"/>
    <w:rsid w:val="009255AF"/>
    <w:rsid w:val="00925F0F"/>
    <w:rsid w:val="0093542F"/>
    <w:rsid w:val="00957905"/>
    <w:rsid w:val="0096117A"/>
    <w:rsid w:val="00961847"/>
    <w:rsid w:val="009619F0"/>
    <w:rsid w:val="009625F6"/>
    <w:rsid w:val="00962C14"/>
    <w:rsid w:val="00965EB1"/>
    <w:rsid w:val="009669BE"/>
    <w:rsid w:val="00970533"/>
    <w:rsid w:val="009736D6"/>
    <w:rsid w:val="00974A74"/>
    <w:rsid w:val="00975E5A"/>
    <w:rsid w:val="00992C89"/>
    <w:rsid w:val="00994850"/>
    <w:rsid w:val="009A02F2"/>
    <w:rsid w:val="009A2818"/>
    <w:rsid w:val="009A340F"/>
    <w:rsid w:val="009A533B"/>
    <w:rsid w:val="009B5C39"/>
    <w:rsid w:val="009B643A"/>
    <w:rsid w:val="009C0CFA"/>
    <w:rsid w:val="009C2197"/>
    <w:rsid w:val="009C50D1"/>
    <w:rsid w:val="009D07F3"/>
    <w:rsid w:val="009D12C1"/>
    <w:rsid w:val="009D250E"/>
    <w:rsid w:val="009D45A7"/>
    <w:rsid w:val="009D7595"/>
    <w:rsid w:val="009E0316"/>
    <w:rsid w:val="009E0F5D"/>
    <w:rsid w:val="009F3367"/>
    <w:rsid w:val="009F3C3F"/>
    <w:rsid w:val="009F66F0"/>
    <w:rsid w:val="00A1344C"/>
    <w:rsid w:val="00A14753"/>
    <w:rsid w:val="00A15C16"/>
    <w:rsid w:val="00A16FF1"/>
    <w:rsid w:val="00A1731F"/>
    <w:rsid w:val="00A2150D"/>
    <w:rsid w:val="00A22CED"/>
    <w:rsid w:val="00A448AE"/>
    <w:rsid w:val="00A454A8"/>
    <w:rsid w:val="00A45590"/>
    <w:rsid w:val="00A5573A"/>
    <w:rsid w:val="00A66631"/>
    <w:rsid w:val="00A66FC7"/>
    <w:rsid w:val="00A706E6"/>
    <w:rsid w:val="00A7652E"/>
    <w:rsid w:val="00A81297"/>
    <w:rsid w:val="00A837F7"/>
    <w:rsid w:val="00A879AF"/>
    <w:rsid w:val="00A91CD5"/>
    <w:rsid w:val="00A9202A"/>
    <w:rsid w:val="00A925B8"/>
    <w:rsid w:val="00A9426B"/>
    <w:rsid w:val="00A95A32"/>
    <w:rsid w:val="00A95E8B"/>
    <w:rsid w:val="00A97823"/>
    <w:rsid w:val="00AA18A9"/>
    <w:rsid w:val="00AA27B5"/>
    <w:rsid w:val="00AB4EA7"/>
    <w:rsid w:val="00AB6AAF"/>
    <w:rsid w:val="00AC5267"/>
    <w:rsid w:val="00AC557E"/>
    <w:rsid w:val="00AC75C1"/>
    <w:rsid w:val="00AD03C8"/>
    <w:rsid w:val="00AD39BE"/>
    <w:rsid w:val="00AE128A"/>
    <w:rsid w:val="00AE7285"/>
    <w:rsid w:val="00AF0D40"/>
    <w:rsid w:val="00AF3B33"/>
    <w:rsid w:val="00B01132"/>
    <w:rsid w:val="00B03820"/>
    <w:rsid w:val="00B042C7"/>
    <w:rsid w:val="00B1432B"/>
    <w:rsid w:val="00B202E6"/>
    <w:rsid w:val="00B27E2E"/>
    <w:rsid w:val="00B336B5"/>
    <w:rsid w:val="00B41134"/>
    <w:rsid w:val="00B42BA0"/>
    <w:rsid w:val="00B43E2F"/>
    <w:rsid w:val="00B44205"/>
    <w:rsid w:val="00B4519B"/>
    <w:rsid w:val="00B56E41"/>
    <w:rsid w:val="00B63CF4"/>
    <w:rsid w:val="00B641A5"/>
    <w:rsid w:val="00B6428E"/>
    <w:rsid w:val="00B660CF"/>
    <w:rsid w:val="00B663E3"/>
    <w:rsid w:val="00B67D03"/>
    <w:rsid w:val="00B751D2"/>
    <w:rsid w:val="00B77F6A"/>
    <w:rsid w:val="00B8114B"/>
    <w:rsid w:val="00B81A71"/>
    <w:rsid w:val="00B86108"/>
    <w:rsid w:val="00B862AE"/>
    <w:rsid w:val="00B90A7E"/>
    <w:rsid w:val="00B97AAF"/>
    <w:rsid w:val="00BA0303"/>
    <w:rsid w:val="00BA2966"/>
    <w:rsid w:val="00BA2BFA"/>
    <w:rsid w:val="00BA31F7"/>
    <w:rsid w:val="00BB2899"/>
    <w:rsid w:val="00BC0C3C"/>
    <w:rsid w:val="00BC136E"/>
    <w:rsid w:val="00BC1A36"/>
    <w:rsid w:val="00BC244A"/>
    <w:rsid w:val="00BD2291"/>
    <w:rsid w:val="00BD2CC2"/>
    <w:rsid w:val="00BD776A"/>
    <w:rsid w:val="00BE2C82"/>
    <w:rsid w:val="00BE3A9B"/>
    <w:rsid w:val="00BE3CE5"/>
    <w:rsid w:val="00BF390C"/>
    <w:rsid w:val="00BF71D2"/>
    <w:rsid w:val="00BF7BE1"/>
    <w:rsid w:val="00BF7CEC"/>
    <w:rsid w:val="00C061D2"/>
    <w:rsid w:val="00C07485"/>
    <w:rsid w:val="00C07591"/>
    <w:rsid w:val="00C07CAB"/>
    <w:rsid w:val="00C17BF4"/>
    <w:rsid w:val="00C22132"/>
    <w:rsid w:val="00C2715B"/>
    <w:rsid w:val="00C301EF"/>
    <w:rsid w:val="00C3525E"/>
    <w:rsid w:val="00C5071C"/>
    <w:rsid w:val="00C50E22"/>
    <w:rsid w:val="00C51211"/>
    <w:rsid w:val="00C51222"/>
    <w:rsid w:val="00C52A05"/>
    <w:rsid w:val="00C54444"/>
    <w:rsid w:val="00C54F3D"/>
    <w:rsid w:val="00C57299"/>
    <w:rsid w:val="00C572AD"/>
    <w:rsid w:val="00C63544"/>
    <w:rsid w:val="00C66CB3"/>
    <w:rsid w:val="00C6771A"/>
    <w:rsid w:val="00C726CB"/>
    <w:rsid w:val="00C7647E"/>
    <w:rsid w:val="00C824FC"/>
    <w:rsid w:val="00C83693"/>
    <w:rsid w:val="00C83C61"/>
    <w:rsid w:val="00C8763C"/>
    <w:rsid w:val="00C902A7"/>
    <w:rsid w:val="00C96677"/>
    <w:rsid w:val="00CA2848"/>
    <w:rsid w:val="00CA356E"/>
    <w:rsid w:val="00CA3BDE"/>
    <w:rsid w:val="00CC107E"/>
    <w:rsid w:val="00CC12F2"/>
    <w:rsid w:val="00CD238A"/>
    <w:rsid w:val="00CD3411"/>
    <w:rsid w:val="00CD6FD8"/>
    <w:rsid w:val="00CE09B2"/>
    <w:rsid w:val="00CF444D"/>
    <w:rsid w:val="00CF5BC4"/>
    <w:rsid w:val="00D04B08"/>
    <w:rsid w:val="00D066DB"/>
    <w:rsid w:val="00D07571"/>
    <w:rsid w:val="00D23174"/>
    <w:rsid w:val="00D276AA"/>
    <w:rsid w:val="00D30897"/>
    <w:rsid w:val="00D31056"/>
    <w:rsid w:val="00D316D7"/>
    <w:rsid w:val="00D35150"/>
    <w:rsid w:val="00D41933"/>
    <w:rsid w:val="00D44685"/>
    <w:rsid w:val="00D4527D"/>
    <w:rsid w:val="00D531E7"/>
    <w:rsid w:val="00D5501A"/>
    <w:rsid w:val="00D5525E"/>
    <w:rsid w:val="00D56D56"/>
    <w:rsid w:val="00D64430"/>
    <w:rsid w:val="00D65B03"/>
    <w:rsid w:val="00D67FBE"/>
    <w:rsid w:val="00D70715"/>
    <w:rsid w:val="00D716C8"/>
    <w:rsid w:val="00D732C3"/>
    <w:rsid w:val="00D766ED"/>
    <w:rsid w:val="00D77ED3"/>
    <w:rsid w:val="00D80817"/>
    <w:rsid w:val="00D8179B"/>
    <w:rsid w:val="00D829E8"/>
    <w:rsid w:val="00D831CD"/>
    <w:rsid w:val="00D85F8D"/>
    <w:rsid w:val="00D869B2"/>
    <w:rsid w:val="00D87A4A"/>
    <w:rsid w:val="00DA155B"/>
    <w:rsid w:val="00DA1947"/>
    <w:rsid w:val="00DA201A"/>
    <w:rsid w:val="00DA6A79"/>
    <w:rsid w:val="00DB1E8F"/>
    <w:rsid w:val="00DB6D14"/>
    <w:rsid w:val="00DC0A76"/>
    <w:rsid w:val="00DC2B7A"/>
    <w:rsid w:val="00DC408E"/>
    <w:rsid w:val="00DC52D7"/>
    <w:rsid w:val="00DC61FC"/>
    <w:rsid w:val="00DD5903"/>
    <w:rsid w:val="00DE0067"/>
    <w:rsid w:val="00DE4577"/>
    <w:rsid w:val="00DE6D11"/>
    <w:rsid w:val="00DF150D"/>
    <w:rsid w:val="00DF216D"/>
    <w:rsid w:val="00DF3E82"/>
    <w:rsid w:val="00E04AB9"/>
    <w:rsid w:val="00E05188"/>
    <w:rsid w:val="00E06AE4"/>
    <w:rsid w:val="00E078EA"/>
    <w:rsid w:val="00E07B10"/>
    <w:rsid w:val="00E1121D"/>
    <w:rsid w:val="00E11E4F"/>
    <w:rsid w:val="00E13FD3"/>
    <w:rsid w:val="00E150D6"/>
    <w:rsid w:val="00E170F3"/>
    <w:rsid w:val="00E339CD"/>
    <w:rsid w:val="00E34983"/>
    <w:rsid w:val="00E37822"/>
    <w:rsid w:val="00E43798"/>
    <w:rsid w:val="00E5014A"/>
    <w:rsid w:val="00E53447"/>
    <w:rsid w:val="00E546CA"/>
    <w:rsid w:val="00E569FF"/>
    <w:rsid w:val="00E66E8E"/>
    <w:rsid w:val="00E7071B"/>
    <w:rsid w:val="00E73422"/>
    <w:rsid w:val="00E73A4A"/>
    <w:rsid w:val="00E800F4"/>
    <w:rsid w:val="00E81576"/>
    <w:rsid w:val="00E86EA0"/>
    <w:rsid w:val="00E90A54"/>
    <w:rsid w:val="00E956C2"/>
    <w:rsid w:val="00EA3E1C"/>
    <w:rsid w:val="00EA436F"/>
    <w:rsid w:val="00EB0E9F"/>
    <w:rsid w:val="00EB30E2"/>
    <w:rsid w:val="00EB408B"/>
    <w:rsid w:val="00EB649F"/>
    <w:rsid w:val="00EC30E3"/>
    <w:rsid w:val="00EC3848"/>
    <w:rsid w:val="00EC3F83"/>
    <w:rsid w:val="00ED72DE"/>
    <w:rsid w:val="00EE2EF5"/>
    <w:rsid w:val="00EE465F"/>
    <w:rsid w:val="00EE5E61"/>
    <w:rsid w:val="00EE7E2C"/>
    <w:rsid w:val="00EF14F0"/>
    <w:rsid w:val="00EF276C"/>
    <w:rsid w:val="00EF3814"/>
    <w:rsid w:val="00EF61F5"/>
    <w:rsid w:val="00F053F7"/>
    <w:rsid w:val="00F054E9"/>
    <w:rsid w:val="00F05A0B"/>
    <w:rsid w:val="00F122F2"/>
    <w:rsid w:val="00F15292"/>
    <w:rsid w:val="00F17F60"/>
    <w:rsid w:val="00F21B0F"/>
    <w:rsid w:val="00F22608"/>
    <w:rsid w:val="00F227D2"/>
    <w:rsid w:val="00F269C1"/>
    <w:rsid w:val="00F339AF"/>
    <w:rsid w:val="00F37A43"/>
    <w:rsid w:val="00F4137A"/>
    <w:rsid w:val="00F5125E"/>
    <w:rsid w:val="00F56B65"/>
    <w:rsid w:val="00F56FEA"/>
    <w:rsid w:val="00F57076"/>
    <w:rsid w:val="00F61703"/>
    <w:rsid w:val="00F659D5"/>
    <w:rsid w:val="00F67817"/>
    <w:rsid w:val="00F76672"/>
    <w:rsid w:val="00F77E38"/>
    <w:rsid w:val="00F84F90"/>
    <w:rsid w:val="00F96F0F"/>
    <w:rsid w:val="00FA09F6"/>
    <w:rsid w:val="00FA670D"/>
    <w:rsid w:val="00FA7505"/>
    <w:rsid w:val="00FB5C73"/>
    <w:rsid w:val="00FC4C94"/>
    <w:rsid w:val="00FC540D"/>
    <w:rsid w:val="00FD2239"/>
    <w:rsid w:val="00FE2FD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0D738"/>
  <w14:defaultImageDpi w14:val="32767"/>
  <w15:chartTrackingRefBased/>
  <w15:docId w15:val="{2B6855C1-3607-254B-9995-6C93D27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BFA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2BFA"/>
    <w:rPr>
      <w:rFonts w:ascii="Times New Roman" w:eastAsia="Times New Roman" w:hAnsi="Times New Roman" w:cs="Times New Roman"/>
      <w:sz w:val="28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0162E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2E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3D"/>
    <w:rPr>
      <w:rFonts w:ascii="Segoe UI" w:hAnsi="Segoe UI" w:cs="Segoe UI"/>
      <w:sz w:val="18"/>
      <w:szCs w:val="18"/>
    </w:rPr>
  </w:style>
  <w:style w:type="paragraph" w:customStyle="1" w:styleId="AegeanNormal">
    <w:name w:val="Aegean Normal"/>
    <w:basedOn w:val="Normal"/>
    <w:link w:val="AegeanNormalChar"/>
    <w:autoRedefine/>
    <w:qFormat/>
    <w:rsid w:val="00407E90"/>
    <w:pPr>
      <w:spacing w:after="240" w:line="276" w:lineRule="auto"/>
      <w:ind w:right="6"/>
      <w:jc w:val="both"/>
    </w:pPr>
    <w:rPr>
      <w:rFonts w:ascii="Calibri" w:hAnsi="Calibri"/>
      <w:color w:val="243587"/>
      <w:sz w:val="22"/>
      <w:szCs w:val="19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7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C2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6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7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8A"/>
    <w:rPr>
      <w:color w:val="605E5C"/>
      <w:shd w:val="clear" w:color="auto" w:fill="E1DFDD"/>
    </w:rPr>
  </w:style>
  <w:style w:type="character" w:customStyle="1" w:styleId="xn-person">
    <w:name w:val="xn-person"/>
    <w:basedOn w:val="DefaultParagraphFont"/>
    <w:rsid w:val="00E43798"/>
  </w:style>
  <w:style w:type="paragraph" w:styleId="Revision">
    <w:name w:val="Revision"/>
    <w:hidden/>
    <w:uiPriority w:val="99"/>
    <w:semiHidden/>
    <w:rsid w:val="00E43798"/>
  </w:style>
  <w:style w:type="character" w:styleId="FollowedHyperlink">
    <w:name w:val="FollowedHyperlink"/>
    <w:basedOn w:val="DefaultParagraphFont"/>
    <w:uiPriority w:val="99"/>
    <w:semiHidden/>
    <w:unhideWhenUsed/>
    <w:rsid w:val="0074469D"/>
    <w:rPr>
      <w:color w:val="954F72" w:themeColor="followedHyperlink"/>
      <w:u w:val="single"/>
    </w:rPr>
  </w:style>
  <w:style w:type="character" w:customStyle="1" w:styleId="AegeanNormalChar">
    <w:name w:val="Aegean Normal Char"/>
    <w:basedOn w:val="DefaultParagraphFont"/>
    <w:link w:val="AegeanNormal"/>
    <w:rsid w:val="00F122F2"/>
    <w:rPr>
      <w:rFonts w:ascii="Calibri" w:hAnsi="Calibri"/>
      <w:color w:val="243587"/>
      <w:sz w:val="22"/>
      <w:szCs w:val="19"/>
      <w:lang w:val="el-GR"/>
    </w:rPr>
  </w:style>
  <w:style w:type="character" w:styleId="PlaceholderText">
    <w:name w:val="Placeholder Text"/>
    <w:basedOn w:val="DefaultParagraphFont"/>
    <w:uiPriority w:val="99"/>
    <w:semiHidden/>
    <w:rsid w:val="005848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2021-10-12T21:00:00+00:00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0" ma:contentTypeDescription="Create a new document." ma:contentTypeScope="" ma:versionID="c7927cb44d34fd910dd61b4ed9ca5b3a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2fd08e126cf4fb91c87ca43d66a9ed9c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CCB1ADB-F8FA-469C-A5EE-1B555EC69B85}">
  <ds:schemaRefs>
    <ds:schemaRef ds:uri="http://schemas.microsoft.com/office/2006/documentManagement/types"/>
    <ds:schemaRef ds:uri="bae7db81-8a76-49dc-873a-2cf985890e3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ef9ce95-d731-4245-ac9f-3fdcfde03d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E132C-FC10-4F64-8730-4875610A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C57A-039F-4AEC-BF24-1AF5C6B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0FF81-F508-400B-BB5A-A22354B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9</Pages>
  <Words>1689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Katelani Anthi</dc:creator>
  <cp:keywords/>
  <dc:description/>
  <cp:lastModifiedBy>Katelani Anthi</cp:lastModifiedBy>
  <cp:revision>143</cp:revision>
  <cp:lastPrinted>2024-05-24T05:15:00Z</cp:lastPrinted>
  <dcterms:created xsi:type="dcterms:W3CDTF">2024-05-17T07:27:00Z</dcterms:created>
  <dcterms:modified xsi:type="dcterms:W3CDTF">2024-05-24T06:31:00Z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  <property fmtid="{D5CDD505-2E9C-101B-9397-08002B2CF9AE}" pid="3" name="MSIP_Label_2af53a41-46d0-48d2-ac45-095a27a4bce1_Enabled">
    <vt:lpwstr>true</vt:lpwstr>
  </property>
  <property fmtid="{D5CDD505-2E9C-101B-9397-08002B2CF9AE}" pid="4" name="MSIP_Label_2af53a41-46d0-48d2-ac45-095a27a4bce1_SetDate">
    <vt:lpwstr>2024-02-26T15:02:23Z</vt:lpwstr>
  </property>
  <property fmtid="{D5CDD505-2E9C-101B-9397-08002B2CF9AE}" pid="5" name="MSIP_Label_2af53a41-46d0-48d2-ac45-095a27a4bce1_Method">
    <vt:lpwstr>Standard</vt:lpwstr>
  </property>
  <property fmtid="{D5CDD505-2E9C-101B-9397-08002B2CF9AE}" pid="6" name="MSIP_Label_2af53a41-46d0-48d2-ac45-095a27a4bce1_Name">
    <vt:lpwstr>2af53a41-46d0-48d2-ac45-095a27a4bce1</vt:lpwstr>
  </property>
  <property fmtid="{D5CDD505-2E9C-101B-9397-08002B2CF9AE}" pid="7" name="MSIP_Label_2af53a41-46d0-48d2-ac45-095a27a4bce1_SiteId">
    <vt:lpwstr>00ab5264-f7ed-4d89-9011-19bf33ed8169</vt:lpwstr>
  </property>
  <property fmtid="{D5CDD505-2E9C-101B-9397-08002B2CF9AE}" pid="8" name="MSIP_Label_2af53a41-46d0-48d2-ac45-095a27a4bce1_ActionId">
    <vt:lpwstr>2567d332-8910-4afc-9c14-c76eeb4e6d6e</vt:lpwstr>
  </property>
  <property fmtid="{D5CDD505-2E9C-101B-9397-08002B2CF9AE}" pid="9" name="MSIP_Label_2af53a41-46d0-48d2-ac45-095a27a4bce1_ContentBits">
    <vt:lpwstr>0</vt:lpwstr>
  </property>
</Properties>
</file>